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79" w:rsidRDefault="005A3679" w:rsidP="005A3679">
      <w:pPr>
        <w:pStyle w:val="Naslov1"/>
        <w:jc w:val="center"/>
        <w:rPr>
          <w:rFonts w:ascii="Arial" w:hAnsi="Arial" w:cs="Arial"/>
          <w:sz w:val="32"/>
          <w:szCs w:val="32"/>
        </w:rPr>
      </w:pPr>
      <w:bookmarkStart w:id="0" w:name="_Toc90259045"/>
      <w:r>
        <w:rPr>
          <w:rFonts w:ascii="Arial" w:hAnsi="Arial" w:cs="Arial"/>
          <w:sz w:val="32"/>
          <w:szCs w:val="32"/>
        </w:rPr>
        <w:t>Obrazloženje</w:t>
      </w:r>
      <w:bookmarkEnd w:id="0"/>
    </w:p>
    <w:p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Proračuna </w:t>
      </w:r>
      <w:r w:rsidR="00472CC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Općine </w:t>
      </w:r>
      <w:proofErr w:type="spellStart"/>
      <w:r w:rsidR="00472CC0">
        <w:rPr>
          <w:rFonts w:ascii="Arial" w:hAnsi="Arial" w:cs="Arial"/>
          <w:b/>
          <w:bCs/>
          <w:color w:val="000000" w:themeColor="text1"/>
          <w:sz w:val="32"/>
          <w:szCs w:val="32"/>
        </w:rPr>
        <w:t>Vođinci</w:t>
      </w:r>
      <w:proofErr w:type="spellEnd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za 2023. god. i </w:t>
      </w:r>
    </w:p>
    <w:p w:rsidR="00472CC0" w:rsidRDefault="005A3679" w:rsidP="005A367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Projekcije Proračuna za 2024. i 2025. </w:t>
      </w:r>
      <w:r w:rsidR="005E0FBB">
        <w:rPr>
          <w:rFonts w:ascii="Arial" w:hAnsi="Arial" w:cs="Arial"/>
          <w:b/>
          <w:bCs/>
          <w:color w:val="000000" w:themeColor="text1"/>
          <w:sz w:val="32"/>
          <w:szCs w:val="32"/>
        </w:rPr>
        <w:t>g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odinu</w:t>
      </w:r>
    </w:p>
    <w:p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5A3679" w:rsidRDefault="005A3679" w:rsidP="005A3679">
      <w:pPr>
        <w:widowControl/>
        <w:suppressAutoHyphens w:val="0"/>
        <w:spacing w:after="160" w:line="256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  <w:highlight w:val="lightGray"/>
        </w:rPr>
        <w:t>OPĆI DIO</w:t>
      </w:r>
      <w:r>
        <w:rPr>
          <w:rFonts w:ascii="Arial" w:hAnsi="Arial" w:cs="Arial"/>
          <w:i/>
          <w:sz w:val="32"/>
          <w:szCs w:val="32"/>
        </w:rPr>
        <w:t xml:space="preserve"> </w:t>
      </w:r>
    </w:p>
    <w:p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Proračun </w:t>
      </w:r>
      <w:r w:rsidR="00472CC0">
        <w:rPr>
          <w:rFonts w:ascii="Arial" w:hAnsi="Arial" w:cs="Arial"/>
          <w:color w:val="000000" w:themeColor="text1"/>
          <w:sz w:val="20"/>
          <w:szCs w:val="20"/>
        </w:rPr>
        <w:t xml:space="preserve">Općine </w:t>
      </w:r>
      <w:proofErr w:type="spellStart"/>
      <w:r w:rsidR="00472CC0">
        <w:rPr>
          <w:rFonts w:ascii="Arial" w:hAnsi="Arial" w:cs="Arial"/>
          <w:color w:val="000000" w:themeColor="text1"/>
          <w:sz w:val="20"/>
          <w:szCs w:val="20"/>
        </w:rPr>
        <w:t>Vođinci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za razdoblje 2023.-2025. godine izrađuje se temeljem članaka 28-37. Zakona o proračunu (“Narodne novine RH”, br. 144/21).</w:t>
      </w:r>
    </w:p>
    <w:p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Polazište za izradu Prijedloga Proračuna za razdoblje 2023.-2025. godine bile su Upute za izradu proračuna JLP(R)S za razdoblje 2023-2025. godine koje je izradilo Ministarstvo financija zajedno sa Programom konvergencije RH za razdoblje 2023.-2025.godine. Temeljem dobivenih uputa dostavljene su upute korisnicima proračuna radi izrade prijedloga financijskih planova.</w:t>
      </w:r>
    </w:p>
    <w:p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Izrada Proračun</w:t>
      </w:r>
      <w:r w:rsidR="00472CC0"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72CC0">
        <w:rPr>
          <w:rFonts w:ascii="Arial" w:hAnsi="Arial" w:cs="Arial"/>
          <w:color w:val="000000" w:themeColor="text1"/>
          <w:sz w:val="20"/>
          <w:szCs w:val="20"/>
        </w:rPr>
        <w:t xml:space="preserve">Općine </w:t>
      </w:r>
      <w:proofErr w:type="spellStart"/>
      <w:r w:rsidR="00472CC0">
        <w:rPr>
          <w:rFonts w:ascii="Arial" w:hAnsi="Arial" w:cs="Arial"/>
          <w:color w:val="000000" w:themeColor="text1"/>
          <w:sz w:val="20"/>
          <w:szCs w:val="20"/>
        </w:rPr>
        <w:t>Vođinci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za razdoblje 2023.-2025. godine obilježena je značajnim promjenama Zakona o proračunu (NN 144/21)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koji je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stupio </w:t>
      </w:r>
      <w:r>
        <w:rPr>
          <w:rFonts w:ascii="Arial" w:hAnsi="Arial" w:cs="Arial"/>
          <w:color w:val="0F0F0F"/>
          <w:sz w:val="20"/>
          <w:szCs w:val="20"/>
        </w:rPr>
        <w:t xml:space="preserve">je </w:t>
      </w:r>
      <w:r>
        <w:rPr>
          <w:rFonts w:ascii="Arial" w:hAnsi="Arial" w:cs="Arial"/>
          <w:color w:val="111111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snagu 1.1.2022. </w:t>
      </w:r>
      <w:r>
        <w:rPr>
          <w:rFonts w:ascii="Arial" w:hAnsi="Arial" w:cs="Arial"/>
          <w:color w:val="050505"/>
          <w:sz w:val="20"/>
          <w:szCs w:val="20"/>
        </w:rPr>
        <w:t xml:space="preserve">godine, a </w:t>
      </w:r>
      <w:r>
        <w:rPr>
          <w:rFonts w:ascii="Arial" w:hAnsi="Arial" w:cs="Arial"/>
          <w:sz w:val="20"/>
          <w:szCs w:val="20"/>
        </w:rPr>
        <w:t>primjenjuje</w:t>
      </w:r>
      <w:r>
        <w:rPr>
          <w:rFonts w:ascii="Arial" w:hAnsi="Arial" w:cs="Arial"/>
          <w:spacing w:val="-29"/>
          <w:sz w:val="20"/>
          <w:szCs w:val="20"/>
        </w:rPr>
        <w:t xml:space="preserve"> se </w:t>
      </w:r>
      <w:r w:rsidR="00C34B53">
        <w:rPr>
          <w:rFonts w:ascii="Arial" w:hAnsi="Arial" w:cs="Arial"/>
          <w:spacing w:val="-29"/>
          <w:sz w:val="20"/>
          <w:szCs w:val="20"/>
        </w:rPr>
        <w:t xml:space="preserve"> </w:t>
      </w:r>
      <w:r>
        <w:rPr>
          <w:rFonts w:ascii="Arial" w:hAnsi="Arial" w:cs="Arial"/>
          <w:color w:val="030303"/>
          <w:sz w:val="20"/>
          <w:szCs w:val="20"/>
        </w:rPr>
        <w:t>na</w:t>
      </w:r>
      <w:r>
        <w:rPr>
          <w:rFonts w:ascii="Arial" w:hAnsi="Arial" w:cs="Arial"/>
          <w:color w:val="030303"/>
          <w:spacing w:val="-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proračunsko</w:t>
      </w:r>
      <w:r>
        <w:rPr>
          <w:rFonts w:ascii="Arial" w:hAnsi="Arial" w:cs="Arial"/>
          <w:spacing w:val="-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razdoblje</w:t>
      </w:r>
      <w:r>
        <w:rPr>
          <w:rFonts w:ascii="Arial" w:hAnsi="Arial" w:cs="Arial"/>
          <w:spacing w:val="-32"/>
          <w:sz w:val="20"/>
          <w:szCs w:val="20"/>
        </w:rPr>
        <w:t xml:space="preserve"> </w:t>
      </w:r>
      <w:r>
        <w:rPr>
          <w:rFonts w:ascii="Arial" w:hAnsi="Arial" w:cs="Arial"/>
          <w:color w:val="070707"/>
          <w:sz w:val="20"/>
          <w:szCs w:val="20"/>
        </w:rPr>
        <w:t>od</w:t>
      </w:r>
      <w:r>
        <w:rPr>
          <w:rFonts w:ascii="Arial" w:hAnsi="Arial" w:cs="Arial"/>
          <w:color w:val="070707"/>
          <w:spacing w:val="-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2023.-2025.</w:t>
      </w:r>
      <w:r>
        <w:rPr>
          <w:rFonts w:ascii="Arial" w:hAnsi="Arial" w:cs="Arial"/>
          <w:spacing w:val="-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godine.</w:t>
      </w:r>
    </w:p>
    <w:p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Najznačajnije novosti Zakona vezane za izradu proračuna:</w:t>
      </w:r>
    </w:p>
    <w:p w:rsidR="005A3679" w:rsidRDefault="005A3679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Proračun se donosi na drugoj razini ekonomske klasifikacije</w:t>
      </w:r>
      <w:r>
        <w:rPr>
          <w:rFonts w:ascii="Arial" w:hAnsi="Arial" w:cs="Arial"/>
          <w:sz w:val="20"/>
          <w:szCs w:val="20"/>
        </w:rPr>
        <w:t>, tj. na razini skupine Računskog plana, što je manje detaljno u odnosu na ranije kad se proračun donosio na trećoj razini ekonomske klasifikacije, tj. na razini podskupine Računskog plana. Donošenje proračuna na manje detaljnoj razini omogućiti će veću fleksibilnost u izvršavanju proračuna.</w:t>
      </w:r>
    </w:p>
    <w:p w:rsidR="005A3679" w:rsidRDefault="005A3679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Proračun se sastoji od općeg dijela, posebnog dijela i obrazloženja</w:t>
      </w:r>
      <w:r>
        <w:rPr>
          <w:rFonts w:ascii="Arial" w:hAnsi="Arial" w:cs="Arial"/>
          <w:sz w:val="20"/>
          <w:szCs w:val="20"/>
        </w:rPr>
        <w:t>. Prema prijašnjem Zakonu, proračun se sastojao od općeg dijela, posebnog dijela i plana razvojnih programa. Novim Zakonom obrazloženje postaje sastavni dio proračuna, čime se obrazloženju daje veći značaj. Zakon detaljno propisuje sadržaj obrazloženja.</w:t>
      </w:r>
    </w:p>
    <w:p w:rsidR="005A3679" w:rsidRDefault="005A3679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  <w:r w:rsidRPr="009B1374">
        <w:rPr>
          <w:rFonts w:ascii="Arial" w:hAnsi="Arial" w:cs="Arial"/>
          <w:sz w:val="20"/>
          <w:szCs w:val="20"/>
          <w:u w:val="single"/>
        </w:rPr>
        <w:t>Financijski plan proračunskog korisnika</w:t>
      </w:r>
      <w:r>
        <w:rPr>
          <w:rFonts w:ascii="Arial" w:hAnsi="Arial" w:cs="Arial"/>
          <w:sz w:val="20"/>
          <w:szCs w:val="20"/>
        </w:rPr>
        <w:t xml:space="preserve"> se novim Zakonom o proračunu puno detaljnije propisuje. Financijski plan proračunskog korisnika </w:t>
      </w:r>
      <w:r w:rsidRPr="009B1374">
        <w:rPr>
          <w:rFonts w:ascii="Arial" w:hAnsi="Arial" w:cs="Arial"/>
          <w:sz w:val="20"/>
          <w:szCs w:val="20"/>
          <w:u w:val="single"/>
        </w:rPr>
        <w:t>se sadržajno izjednačava sa sadržajem proračuna</w:t>
      </w:r>
      <w:r>
        <w:rPr>
          <w:rFonts w:ascii="Arial" w:hAnsi="Arial" w:cs="Arial"/>
          <w:sz w:val="20"/>
          <w:szCs w:val="20"/>
        </w:rPr>
        <w:t xml:space="preserve"> i sadrži iste dijelove kao i proračun: opći dio, posebni dio i obrazloženje. Ujedno se Zakonom detaljno propisuje postupak predlaganja i donošenja financijskog plana proračunskog korisnika.</w:t>
      </w:r>
    </w:p>
    <w:p w:rsidR="005A3679" w:rsidRDefault="005A3679" w:rsidP="005A3679">
      <w:pPr>
        <w:pStyle w:val="Tijeloteksta"/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</w:p>
    <w:p w:rsidR="005A3679" w:rsidRDefault="00472CC0" w:rsidP="005A3679">
      <w:pPr>
        <w:pStyle w:val="Tijeloteksta"/>
        <w:suppressAutoHyphens w:val="0"/>
        <w:autoSpaceDE w:val="0"/>
        <w:autoSpaceDN w:val="0"/>
        <w:spacing w:after="0" w:line="228" w:lineRule="auto"/>
        <w:ind w:left="360" w:right="10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Na izradu </w:t>
      </w:r>
      <w:r w:rsidR="005A3679">
        <w:rPr>
          <w:rFonts w:ascii="Arial" w:hAnsi="Arial" w:cs="Arial"/>
          <w:color w:val="000000" w:themeColor="text1"/>
          <w:sz w:val="20"/>
          <w:szCs w:val="20"/>
        </w:rPr>
        <w:t>Proračun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="005A36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Općine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Vođinci</w:t>
      </w:r>
      <w:proofErr w:type="spellEnd"/>
      <w:r w:rsidR="005A3679">
        <w:rPr>
          <w:rFonts w:ascii="Arial" w:hAnsi="Arial" w:cs="Arial"/>
          <w:color w:val="000000" w:themeColor="text1"/>
          <w:sz w:val="20"/>
          <w:szCs w:val="20"/>
        </w:rPr>
        <w:t xml:space="preserve"> za razdoblje 2023.-2025. godine utjecao je i Zakon o uvođenju eura kao službene valute RH (57/22 i 88/22) temeljem kojeg se </w:t>
      </w:r>
      <w:r w:rsidR="005A36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proračun za razdoblje 2023-2025. god. donosi u valuti euro.</w:t>
      </w:r>
    </w:p>
    <w:p w:rsidR="005A3679" w:rsidRDefault="005A3679" w:rsidP="005A3679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Uz Proračun 202</w:t>
      </w:r>
      <w:r w:rsidR="00D70322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. godine, predlaže se i Projekcija proračuna za razdoblje 202</w:t>
      </w:r>
      <w:r w:rsidR="00D70322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. - 202</w:t>
      </w:r>
      <w:r w:rsidR="00D70322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. godine.</w:t>
      </w:r>
      <w:bookmarkStart w:id="1" w:name="_Hlk499301077"/>
    </w:p>
    <w:p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A3679" w:rsidRDefault="005A3679" w:rsidP="006B32D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End w:id="1"/>
    </w:p>
    <w:p w:rsidR="005A3679" w:rsidRDefault="005A3679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Prijedlogom Proračuna </w:t>
      </w:r>
      <w:r w:rsidR="009E1688">
        <w:rPr>
          <w:rFonts w:ascii="Arial" w:hAnsi="Arial" w:cs="Arial"/>
          <w:b/>
          <w:bCs/>
          <w:sz w:val="20"/>
          <w:szCs w:val="20"/>
        </w:rPr>
        <w:t xml:space="preserve">Općine </w:t>
      </w:r>
      <w:proofErr w:type="spellStart"/>
      <w:r w:rsidR="009E1688">
        <w:rPr>
          <w:rFonts w:ascii="Arial" w:hAnsi="Arial" w:cs="Arial"/>
          <w:b/>
          <w:bCs/>
          <w:sz w:val="20"/>
          <w:szCs w:val="20"/>
        </w:rPr>
        <w:t>Vođinci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za 202</w:t>
      </w:r>
      <w:r w:rsidR="00F40AD4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. godinu planiraju se prihodi i primici u iznosu od </w:t>
      </w:r>
      <w:r w:rsidR="002F296F" w:rsidRPr="002F296F">
        <w:rPr>
          <w:rFonts w:ascii="Arial" w:hAnsi="Arial" w:cs="Arial"/>
          <w:b/>
          <w:bCs/>
          <w:sz w:val="20"/>
          <w:szCs w:val="20"/>
        </w:rPr>
        <w:t>2.198.602</w:t>
      </w:r>
      <w:r w:rsidR="002F296F">
        <w:rPr>
          <w:rFonts w:ascii="Arial" w:hAnsi="Arial" w:cs="Arial"/>
          <w:b/>
          <w:bCs/>
          <w:sz w:val="20"/>
          <w:szCs w:val="20"/>
        </w:rPr>
        <w:t>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40AD4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 te rashodi i izdaci u iznosu </w:t>
      </w:r>
      <w:r w:rsidR="002F296F" w:rsidRPr="002F296F">
        <w:rPr>
          <w:rFonts w:ascii="Arial" w:hAnsi="Arial" w:cs="Arial"/>
          <w:b/>
          <w:bCs/>
          <w:sz w:val="20"/>
          <w:szCs w:val="20"/>
        </w:rPr>
        <w:t>1.999.519</w:t>
      </w:r>
      <w:r w:rsidR="002F296F">
        <w:rPr>
          <w:rFonts w:ascii="Arial" w:hAnsi="Arial" w:cs="Arial"/>
          <w:b/>
          <w:bCs/>
          <w:sz w:val="20"/>
          <w:szCs w:val="20"/>
        </w:rPr>
        <w:t>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. Razlika od </w:t>
      </w:r>
      <w:r w:rsidR="002F296F">
        <w:rPr>
          <w:rFonts w:ascii="Arial" w:hAnsi="Arial" w:cs="Arial"/>
          <w:b/>
          <w:bCs/>
          <w:sz w:val="20"/>
          <w:szCs w:val="20"/>
        </w:rPr>
        <w:t>199.083,00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 w:rsidR="003F0722">
        <w:rPr>
          <w:rFonts w:ascii="Arial" w:hAnsi="Arial" w:cs="Arial"/>
          <w:b/>
          <w:bCs/>
          <w:sz w:val="20"/>
          <w:szCs w:val="20"/>
        </w:rPr>
        <w:t xml:space="preserve"> čini preneseni manjak iz prethodnih godina </w:t>
      </w:r>
      <w:r w:rsidR="008B3C8E">
        <w:rPr>
          <w:rFonts w:ascii="Arial" w:hAnsi="Arial" w:cs="Arial"/>
          <w:b/>
          <w:bCs/>
          <w:sz w:val="20"/>
          <w:szCs w:val="20"/>
        </w:rPr>
        <w:t xml:space="preserve">koji će se </w:t>
      </w:r>
      <w:r w:rsidR="003F0722">
        <w:rPr>
          <w:rFonts w:ascii="Arial" w:hAnsi="Arial" w:cs="Arial"/>
          <w:b/>
          <w:bCs/>
          <w:sz w:val="20"/>
          <w:szCs w:val="20"/>
        </w:rPr>
        <w:t>pokrit</w:t>
      </w:r>
      <w:bookmarkStart w:id="2" w:name="_Hlk499297660"/>
      <w:r w:rsidR="008B3C8E">
        <w:rPr>
          <w:rFonts w:ascii="Arial" w:hAnsi="Arial" w:cs="Arial"/>
          <w:b/>
          <w:bCs/>
          <w:sz w:val="20"/>
          <w:szCs w:val="20"/>
        </w:rPr>
        <w:t>i u 2023. g</w:t>
      </w:r>
      <w:bookmarkStart w:id="3" w:name="_GoBack"/>
      <w:bookmarkEnd w:id="3"/>
      <w:r w:rsidR="008B3C8E">
        <w:rPr>
          <w:rFonts w:ascii="Arial" w:hAnsi="Arial" w:cs="Arial"/>
          <w:b/>
          <w:bCs/>
          <w:sz w:val="20"/>
          <w:szCs w:val="20"/>
        </w:rPr>
        <w:t>odini.</w:t>
      </w:r>
    </w:p>
    <w:bookmarkEnd w:id="2"/>
    <w:p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4" w:name="_Toc90259046"/>
      <w:r>
        <w:rPr>
          <w:rFonts w:ascii="Arial" w:hAnsi="Arial" w:cs="Arial"/>
          <w:color w:val="auto"/>
          <w:sz w:val="28"/>
          <w:szCs w:val="28"/>
          <w:u w:val="single"/>
        </w:rPr>
        <w:t>A PRIHODI I PRIMICI</w:t>
      </w:r>
      <w:bookmarkEnd w:id="4"/>
      <w:r>
        <w:rPr>
          <w:rFonts w:ascii="Arial" w:hAnsi="Arial" w:cs="Arial"/>
          <w:color w:val="auto"/>
          <w:sz w:val="28"/>
          <w:szCs w:val="28"/>
          <w:u w:val="single"/>
        </w:rPr>
        <w:t xml:space="preserve"> </w:t>
      </w:r>
    </w:p>
    <w:p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A3679" w:rsidRDefault="005A3679" w:rsidP="005A3679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Prihodi i primici Proračuna za 202</w:t>
      </w:r>
      <w:r w:rsidR="006B32D6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godinu prema ekonomskoj klasifikaciji obuhvaćaju prihode poslovanja, prihode od prodaje nefinancijske imovine, te primitke od financijske imovine i zaduživanja.</w:t>
      </w:r>
    </w:p>
    <w:p w:rsidR="005A3679" w:rsidRDefault="005A3679" w:rsidP="005A3679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Prijedlogom Proračuna </w:t>
      </w:r>
      <w:r w:rsidR="00BE6E80">
        <w:rPr>
          <w:rFonts w:ascii="Arial" w:hAnsi="Arial" w:cs="Arial"/>
          <w:sz w:val="20"/>
          <w:szCs w:val="20"/>
        </w:rPr>
        <w:t xml:space="preserve">Općine </w:t>
      </w:r>
      <w:proofErr w:type="spellStart"/>
      <w:r w:rsidR="00BE6E80">
        <w:rPr>
          <w:rFonts w:ascii="Arial" w:hAnsi="Arial" w:cs="Arial"/>
          <w:sz w:val="20"/>
          <w:szCs w:val="20"/>
        </w:rPr>
        <w:t>Vođinci</w:t>
      </w:r>
      <w:proofErr w:type="spellEnd"/>
      <w:r>
        <w:rPr>
          <w:rFonts w:ascii="Arial" w:hAnsi="Arial" w:cs="Arial"/>
          <w:sz w:val="20"/>
          <w:szCs w:val="20"/>
        </w:rPr>
        <w:t xml:space="preserve"> za 202</w:t>
      </w:r>
      <w:r w:rsidR="006B32D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godinu planiraju se prihodi i primici u iznosu od </w:t>
      </w:r>
      <w:r w:rsidR="00BE6E80">
        <w:rPr>
          <w:rFonts w:ascii="Arial" w:hAnsi="Arial" w:cs="Arial"/>
          <w:sz w:val="20"/>
          <w:szCs w:val="20"/>
        </w:rPr>
        <w:t>2.198.602,00</w:t>
      </w:r>
      <w:r w:rsidR="006B32D6"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 w:rsidRPr="00C34B53">
        <w:rPr>
          <w:rFonts w:ascii="Arial" w:hAnsi="Arial" w:cs="Arial"/>
          <w:bCs/>
          <w:sz w:val="20"/>
          <w:szCs w:val="20"/>
        </w:rPr>
        <w:t>EUR</w:t>
      </w:r>
      <w:r w:rsidR="006B32D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što je </w:t>
      </w:r>
      <w:r w:rsidR="00BE6E80">
        <w:rPr>
          <w:rFonts w:ascii="Arial" w:hAnsi="Arial" w:cs="Arial"/>
          <w:sz w:val="20"/>
          <w:szCs w:val="20"/>
        </w:rPr>
        <w:t>veće za 3 %</w:t>
      </w:r>
      <w:r>
        <w:rPr>
          <w:rFonts w:ascii="Arial" w:hAnsi="Arial" w:cs="Arial"/>
          <w:sz w:val="20"/>
          <w:szCs w:val="20"/>
        </w:rPr>
        <w:t xml:space="preserve"> u odnosu na planirane prihode i primitke Proračuna </w:t>
      </w:r>
      <w:r w:rsidR="00BE6E80">
        <w:rPr>
          <w:rFonts w:ascii="Arial" w:hAnsi="Arial" w:cs="Arial"/>
          <w:sz w:val="20"/>
          <w:szCs w:val="20"/>
        </w:rPr>
        <w:t xml:space="preserve">Općine </w:t>
      </w:r>
      <w:proofErr w:type="spellStart"/>
      <w:r w:rsidR="00BE6E80">
        <w:rPr>
          <w:rFonts w:ascii="Arial" w:hAnsi="Arial" w:cs="Arial"/>
          <w:sz w:val="20"/>
          <w:szCs w:val="20"/>
        </w:rPr>
        <w:t>Vođinci</w:t>
      </w:r>
      <w:proofErr w:type="spellEnd"/>
      <w:r>
        <w:rPr>
          <w:rFonts w:ascii="Arial" w:hAnsi="Arial" w:cs="Arial"/>
          <w:sz w:val="20"/>
          <w:szCs w:val="20"/>
        </w:rPr>
        <w:t xml:space="preserve"> za 202</w:t>
      </w:r>
      <w:r w:rsidR="006B32D6">
        <w:rPr>
          <w:rFonts w:ascii="Arial" w:hAnsi="Arial" w:cs="Arial"/>
          <w:sz w:val="20"/>
          <w:szCs w:val="20"/>
        </w:rPr>
        <w:t>2</w:t>
      </w:r>
      <w:r w:rsidR="00BE6E80">
        <w:rPr>
          <w:rFonts w:ascii="Arial" w:hAnsi="Arial" w:cs="Arial"/>
          <w:sz w:val="20"/>
          <w:szCs w:val="20"/>
        </w:rPr>
        <w:t>. godinu</w:t>
      </w:r>
      <w:r>
        <w:rPr>
          <w:rFonts w:ascii="Arial" w:hAnsi="Arial" w:cs="Arial"/>
          <w:sz w:val="20"/>
          <w:szCs w:val="20"/>
        </w:rPr>
        <w:t xml:space="preserve">. Od tog iznosa </w:t>
      </w:r>
      <w:r w:rsidRPr="00C34B53">
        <w:rPr>
          <w:rFonts w:ascii="Arial" w:hAnsi="Arial" w:cs="Arial"/>
          <w:sz w:val="20"/>
          <w:szCs w:val="20"/>
        </w:rPr>
        <w:t xml:space="preserve">se </w:t>
      </w:r>
      <w:r w:rsidR="006B32D6" w:rsidRPr="00C34B53">
        <w:rPr>
          <w:rFonts w:ascii="Arial" w:hAnsi="Arial" w:cs="Arial"/>
          <w:bCs/>
          <w:sz w:val="20"/>
          <w:szCs w:val="20"/>
        </w:rPr>
        <w:t xml:space="preserve"> </w:t>
      </w:r>
      <w:r w:rsidR="00BE6E80" w:rsidRPr="00C34B53">
        <w:rPr>
          <w:rFonts w:ascii="Arial" w:hAnsi="Arial" w:cs="Arial"/>
          <w:bCs/>
          <w:sz w:val="20"/>
          <w:szCs w:val="20"/>
        </w:rPr>
        <w:t>2.198.602</w:t>
      </w:r>
      <w:r w:rsidR="00C34B53">
        <w:rPr>
          <w:rFonts w:ascii="Arial" w:hAnsi="Arial" w:cs="Arial"/>
          <w:bCs/>
          <w:sz w:val="20"/>
          <w:szCs w:val="20"/>
        </w:rPr>
        <w:t xml:space="preserve">,00 </w:t>
      </w:r>
      <w:r w:rsidR="006B32D6" w:rsidRPr="00C34B53">
        <w:rPr>
          <w:rFonts w:ascii="Arial" w:hAnsi="Arial" w:cs="Arial"/>
          <w:bCs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 xml:space="preserve"> odnosi na prihode</w:t>
      </w:r>
      <w:r w:rsidR="00BE6E80">
        <w:rPr>
          <w:rFonts w:ascii="Arial" w:hAnsi="Arial" w:cs="Arial"/>
          <w:sz w:val="20"/>
          <w:szCs w:val="20"/>
        </w:rPr>
        <w:t xml:space="preserve"> poslovanja i prihode prodaje nefinancijske imovine, dok primici od financijske imovine i zaduživanja  nisu planirani za 2023.</w:t>
      </w:r>
    </w:p>
    <w:p w:rsidR="005A3679" w:rsidRDefault="005A3679" w:rsidP="005A3679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:rsidR="005A3679" w:rsidRDefault="005A3679" w:rsidP="005A3679">
      <w:pPr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5" w:name="_Hlk499291142"/>
    </w:p>
    <w:bookmarkEnd w:id="5"/>
    <w:p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U nastavku se daje pregled planiranih prihoda i primitaka u 202</w:t>
      </w:r>
      <w:r w:rsidR="006B32D6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. godini, te usporedba sa planom u 202</w:t>
      </w:r>
      <w:r w:rsidR="006B32D6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godini: </w:t>
      </w:r>
    </w:p>
    <w:p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5A3679" w:rsidRDefault="005A3679" w:rsidP="009E315A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Tablica 1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Planirani prihodi i primici Proračuna </w:t>
      </w:r>
      <w:r w:rsidR="00185D07">
        <w:rPr>
          <w:rFonts w:ascii="Arial" w:hAnsi="Arial" w:cs="Arial"/>
          <w:b/>
          <w:color w:val="000000" w:themeColor="text1"/>
          <w:sz w:val="20"/>
          <w:szCs w:val="20"/>
        </w:rPr>
        <w:t xml:space="preserve">Općine </w:t>
      </w:r>
      <w:proofErr w:type="spellStart"/>
      <w:r w:rsidR="00185D07">
        <w:rPr>
          <w:rFonts w:ascii="Arial" w:hAnsi="Arial" w:cs="Arial"/>
          <w:b/>
          <w:color w:val="000000" w:themeColor="text1"/>
          <w:sz w:val="20"/>
          <w:szCs w:val="20"/>
        </w:rPr>
        <w:t>Vođinci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za 202</w:t>
      </w:r>
      <w:r w:rsidR="006B32D6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5A3679" w:rsidRDefault="00D62BAE" w:rsidP="005A3679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-euri</w:t>
      </w:r>
    </w:p>
    <w:tbl>
      <w:tblPr>
        <w:tblW w:w="10923" w:type="dxa"/>
        <w:tblInd w:w="-917" w:type="dxa"/>
        <w:tblLook w:val="04A0" w:firstRow="1" w:lastRow="0" w:firstColumn="1" w:lastColumn="0" w:noHBand="0" w:noVBand="1"/>
      </w:tblPr>
      <w:tblGrid>
        <w:gridCol w:w="856"/>
        <w:gridCol w:w="4975"/>
        <w:gridCol w:w="1573"/>
        <w:gridCol w:w="1286"/>
        <w:gridCol w:w="897"/>
        <w:gridCol w:w="1336"/>
      </w:tblGrid>
      <w:tr w:rsidR="009E315A" w:rsidRPr="009E315A" w:rsidTr="00AD3218">
        <w:trPr>
          <w:trHeight w:val="495"/>
        </w:trPr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BROJ KONTA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15A" w:rsidRPr="009E315A" w:rsidRDefault="009E315A" w:rsidP="009E31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VRSTA PRIHODA/PRIMITAKA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15A" w:rsidRPr="009E315A" w:rsidRDefault="009E315A" w:rsidP="00185D0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PLAN 2022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15A" w:rsidRPr="009E315A" w:rsidRDefault="009E315A" w:rsidP="009E31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PLAN 2023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15A" w:rsidRPr="009E315A" w:rsidRDefault="009E315A" w:rsidP="009E31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INDEKS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315A" w:rsidRPr="009E315A" w:rsidRDefault="009E315A" w:rsidP="009E315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9E315A" w:rsidRPr="009E315A" w:rsidTr="00AD3218">
        <w:trPr>
          <w:trHeight w:val="300"/>
        </w:trPr>
        <w:tc>
          <w:tcPr>
            <w:tcW w:w="5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UKUPNO PRIHODI/PRIMICI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9E315A" w:rsidRPr="009E315A" w:rsidRDefault="00185D07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185D0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2.124.707,66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9E315A" w:rsidRPr="009E315A" w:rsidRDefault="00185D07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185D0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2.198.602</w:t>
            </w:r>
            <w:r w:rsidR="00735C9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9E315A" w:rsidRPr="009E315A" w:rsidRDefault="00185D07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103</w:t>
            </w:r>
            <w:r w:rsidR="00AD321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,48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</w:tcPr>
          <w:p w:rsidR="009E315A" w:rsidRPr="009E315A" w:rsidRDefault="009E315A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9E315A" w:rsidRPr="009E315A" w:rsidTr="00AD3218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Prihodi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1.937.568,50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1.858.062,00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95,90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9E315A" w:rsidRPr="009E315A" w:rsidRDefault="009E315A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9E315A" w:rsidRPr="009E315A" w:rsidTr="00AD3218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Prihodi od poreza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257.614,97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279.237,00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108,39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9E315A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9E315A" w:rsidRPr="009E315A" w:rsidTr="00AD3218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Pomoći iz inozemstva i od subjekata unutar općeg proračuna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1.562.678,34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1.452.287,00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92,94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9E315A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9E315A" w:rsidRPr="009E315A" w:rsidTr="00AD3218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Prihodi od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47.794,81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47.792,00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99,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99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9E315A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9E315A" w:rsidRPr="009E315A" w:rsidTr="00AD3218">
        <w:trPr>
          <w:trHeight w:val="495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Prihodi od upravnih i administrativnih pristojbi, pristojbi po posebnim propisima i naknada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68.750,41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78.016,00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113,48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9E315A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9E315A" w:rsidRPr="009E315A" w:rsidTr="00735C92">
        <w:trPr>
          <w:trHeight w:val="495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9E315A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9E315A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9E315A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9E315A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9E315A" w:rsidRPr="009E315A" w:rsidTr="00735C9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68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Kazne i upravne mjere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729,97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730,00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9E315A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9E315A" w:rsidRPr="009E315A" w:rsidTr="00735C9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Prihodi od prodaje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54.416,35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340.540,00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625,80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9E315A" w:rsidRPr="009E315A" w:rsidRDefault="009E315A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9E315A" w:rsidRPr="009E315A" w:rsidTr="00735C9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71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Prihodi od prodaje </w:t>
            </w:r>
            <w:proofErr w:type="spellStart"/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neproizvedene</w:t>
            </w:r>
            <w:proofErr w:type="spellEnd"/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54.416,35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340.540,00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625,80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9E315A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9E315A" w:rsidRPr="009E315A" w:rsidTr="00735C9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Primici od financijske imovine i zaduživanja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132.722,81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9E315A" w:rsidRPr="009E315A" w:rsidRDefault="009E315A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9E315A" w:rsidRPr="009E315A" w:rsidTr="00735C9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84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15A" w:rsidRPr="009E315A" w:rsidRDefault="009E315A" w:rsidP="009E31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Primici od zaduživanja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132.722,81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735C92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315A" w:rsidRPr="009E315A" w:rsidRDefault="009E315A" w:rsidP="009E315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</w:tbl>
    <w:p w:rsidR="005A3679" w:rsidRDefault="005A3679" w:rsidP="005A3679">
      <w:pPr>
        <w:jc w:val="both"/>
        <w:rPr>
          <w:rFonts w:ascii="Arial" w:hAnsi="Arial" w:cs="Arial"/>
          <w:b/>
          <w:sz w:val="20"/>
          <w:szCs w:val="20"/>
        </w:rPr>
      </w:pPr>
    </w:p>
    <w:p w:rsidR="005A3679" w:rsidRDefault="005A3679" w:rsidP="005A36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61</w:t>
      </w:r>
      <w:r>
        <w:rPr>
          <w:rFonts w:ascii="Arial" w:hAnsi="Arial" w:cs="Arial"/>
          <w:sz w:val="20"/>
          <w:szCs w:val="20"/>
        </w:rPr>
        <w:t>- Prihodi od poreza za 202</w:t>
      </w:r>
      <w:r w:rsidR="00E61A9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godinu planirani su u iznosu </w:t>
      </w:r>
      <w:r w:rsidR="00735C92">
        <w:rPr>
          <w:rFonts w:ascii="Arial" w:hAnsi="Arial" w:cs="Arial"/>
          <w:sz w:val="20"/>
          <w:szCs w:val="20"/>
        </w:rPr>
        <w:t>279.237,00</w:t>
      </w:r>
      <w:r w:rsidR="00E61A99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>. Unutar poreznih prihoda najznačajni</w:t>
      </w:r>
      <w:r w:rsidR="00735C92">
        <w:rPr>
          <w:rFonts w:ascii="Arial" w:hAnsi="Arial" w:cs="Arial"/>
          <w:sz w:val="20"/>
          <w:szCs w:val="20"/>
        </w:rPr>
        <w:t xml:space="preserve">ji su porez i prirez na dohodak, </w:t>
      </w:r>
      <w:r w:rsidR="00770966">
        <w:rPr>
          <w:rFonts w:ascii="Arial" w:hAnsi="Arial" w:cs="Arial"/>
          <w:sz w:val="20"/>
          <w:szCs w:val="20"/>
        </w:rPr>
        <w:t>porezi na imovinu,porezi na robu i usluge.</w:t>
      </w:r>
    </w:p>
    <w:p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</w:p>
    <w:p w:rsidR="009E315A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63</w:t>
      </w:r>
      <w:r>
        <w:rPr>
          <w:rFonts w:ascii="Arial" w:hAnsi="Arial" w:cs="Arial"/>
          <w:sz w:val="20"/>
          <w:szCs w:val="20"/>
        </w:rPr>
        <w:t xml:space="preserve">–Pomoći iz inozemstva i subjekata unutar općeg proračuna planirani su u visini </w:t>
      </w:r>
      <w:r w:rsidR="00770966">
        <w:rPr>
          <w:rFonts w:ascii="Arial" w:hAnsi="Arial" w:cs="Arial"/>
          <w:sz w:val="20"/>
          <w:szCs w:val="20"/>
        </w:rPr>
        <w:t>1.452.287,00</w:t>
      </w:r>
      <w:r w:rsidR="00E61A99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, što je za </w:t>
      </w:r>
      <w:r w:rsidR="009E315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% </w:t>
      </w:r>
      <w:r w:rsidR="00770966">
        <w:rPr>
          <w:rFonts w:ascii="Arial" w:hAnsi="Arial" w:cs="Arial"/>
          <w:sz w:val="20"/>
          <w:szCs w:val="20"/>
        </w:rPr>
        <w:t>manje</w:t>
      </w:r>
      <w:r>
        <w:rPr>
          <w:rFonts w:ascii="Arial" w:hAnsi="Arial" w:cs="Arial"/>
          <w:sz w:val="20"/>
          <w:szCs w:val="20"/>
        </w:rPr>
        <w:t xml:space="preserve"> u odnosu na plan za 2022. godinu. </w:t>
      </w:r>
    </w:p>
    <w:p w:rsidR="009E315A" w:rsidRDefault="009E315A" w:rsidP="005A3679">
      <w:pPr>
        <w:jc w:val="both"/>
        <w:rPr>
          <w:rFonts w:ascii="Arial" w:hAnsi="Arial" w:cs="Arial"/>
          <w:sz w:val="20"/>
          <w:szCs w:val="20"/>
        </w:rPr>
      </w:pPr>
    </w:p>
    <w:p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strukturi na podskupinama računa planirano je:</w:t>
      </w:r>
    </w:p>
    <w:p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  <w:u w:val="single"/>
        </w:rPr>
        <w:t>633 Pomoći proračunu iz drugih proračuna</w:t>
      </w:r>
      <w:r>
        <w:rPr>
          <w:rFonts w:ascii="Arial" w:hAnsi="Arial" w:cs="Arial"/>
          <w:sz w:val="20"/>
          <w:szCs w:val="20"/>
        </w:rPr>
        <w:t xml:space="preserve"> </w:t>
      </w:r>
    </w:p>
    <w:p w:rsidR="005A3679" w:rsidRDefault="00770966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634 Pomoći od izvanproračunskih korisnika</w:t>
      </w:r>
    </w:p>
    <w:p w:rsidR="00770966" w:rsidRDefault="00770966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A3679">
        <w:rPr>
          <w:rFonts w:ascii="Arial" w:hAnsi="Arial" w:cs="Arial"/>
          <w:sz w:val="20"/>
          <w:szCs w:val="20"/>
        </w:rPr>
        <w:t>) 636</w:t>
      </w:r>
      <w:r w:rsidR="005A3679">
        <w:rPr>
          <w:rFonts w:ascii="Arial" w:hAnsi="Arial" w:cs="Arial"/>
          <w:sz w:val="20"/>
          <w:szCs w:val="20"/>
        </w:rPr>
        <w:tab/>
        <w:t>Pomoći proračunskim korisnicima iz proračuna koji im nije nadležan</w:t>
      </w:r>
    </w:p>
    <w:p w:rsidR="00770966" w:rsidRDefault="00770966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638 </w:t>
      </w:r>
      <w:r w:rsidR="005A3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Pomoći temeljem prijenosa EU sredstava</w:t>
      </w:r>
    </w:p>
    <w:p w:rsidR="00770966" w:rsidRDefault="00770966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639 prijenosi između proračunskih korisnika istog proračuna</w:t>
      </w:r>
    </w:p>
    <w:p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</w:p>
    <w:p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64</w:t>
      </w:r>
      <w:r>
        <w:rPr>
          <w:rFonts w:ascii="Arial" w:hAnsi="Arial" w:cs="Arial"/>
          <w:sz w:val="20"/>
          <w:szCs w:val="20"/>
        </w:rPr>
        <w:t xml:space="preserve"> - Prihodi od imovine planiraju se u iznosu od </w:t>
      </w:r>
      <w:r w:rsidR="00770966">
        <w:rPr>
          <w:rFonts w:ascii="Arial" w:hAnsi="Arial" w:cs="Arial"/>
          <w:sz w:val="20"/>
          <w:szCs w:val="20"/>
        </w:rPr>
        <w:t>47.792,00</w:t>
      </w:r>
      <w:r w:rsidR="000D7042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. Najveći iznos odnosi se na prihode </w:t>
      </w:r>
      <w:r w:rsidR="00770966">
        <w:rPr>
          <w:rFonts w:ascii="Arial" w:hAnsi="Arial" w:cs="Arial"/>
          <w:sz w:val="20"/>
          <w:szCs w:val="20"/>
        </w:rPr>
        <w:t xml:space="preserve">Općine </w:t>
      </w:r>
      <w:proofErr w:type="spellStart"/>
      <w:r w:rsidR="00770966">
        <w:rPr>
          <w:rFonts w:ascii="Arial" w:hAnsi="Arial" w:cs="Arial"/>
          <w:sz w:val="20"/>
          <w:szCs w:val="20"/>
        </w:rPr>
        <w:t>Vođinci</w:t>
      </w:r>
      <w:proofErr w:type="spellEnd"/>
      <w:r>
        <w:rPr>
          <w:rFonts w:ascii="Arial" w:hAnsi="Arial" w:cs="Arial"/>
          <w:sz w:val="20"/>
          <w:szCs w:val="20"/>
        </w:rPr>
        <w:t xml:space="preserve"> od nefinancijske imovine (pretežito zakupa</w:t>
      </w:r>
      <w:r w:rsidR="00E704C6">
        <w:rPr>
          <w:rFonts w:ascii="Arial" w:hAnsi="Arial" w:cs="Arial"/>
          <w:sz w:val="20"/>
          <w:szCs w:val="20"/>
        </w:rPr>
        <w:t xml:space="preserve"> poljoprivrednog zemljišta</w:t>
      </w:r>
      <w:r>
        <w:rPr>
          <w:rFonts w:ascii="Arial" w:hAnsi="Arial" w:cs="Arial"/>
          <w:sz w:val="20"/>
          <w:szCs w:val="20"/>
        </w:rPr>
        <w:t xml:space="preserve"> i iznajmljivanja imovine</w:t>
      </w:r>
      <w:r w:rsidR="00770966">
        <w:rPr>
          <w:rFonts w:ascii="Arial" w:hAnsi="Arial" w:cs="Arial"/>
          <w:sz w:val="20"/>
          <w:szCs w:val="20"/>
        </w:rPr>
        <w:t>).</w:t>
      </w:r>
    </w:p>
    <w:p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65</w:t>
      </w:r>
      <w:r>
        <w:rPr>
          <w:rFonts w:ascii="Arial" w:hAnsi="Arial" w:cs="Arial"/>
          <w:sz w:val="20"/>
          <w:szCs w:val="20"/>
        </w:rPr>
        <w:t xml:space="preserve"> - Prihodi od administrativnih pristojbi i pristojbi po posebnim propisima i naknada planiraju se u iznosu od </w:t>
      </w:r>
      <w:r w:rsidR="00770966">
        <w:rPr>
          <w:rFonts w:ascii="Arial" w:hAnsi="Arial" w:cs="Arial"/>
          <w:sz w:val="20"/>
          <w:szCs w:val="20"/>
        </w:rPr>
        <w:t>78.016,00</w:t>
      </w:r>
      <w:r w:rsidR="000D7042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>. Najveći dio ovih prihoda su namjensk</w:t>
      </w:r>
      <w:r w:rsidR="00E704C6">
        <w:rPr>
          <w:rFonts w:ascii="Arial" w:hAnsi="Arial" w:cs="Arial"/>
          <w:sz w:val="20"/>
          <w:szCs w:val="20"/>
        </w:rPr>
        <w:t>i prihodi od komunalne naknade, grobne naknade i komunalnog doprinosa.</w:t>
      </w:r>
    </w:p>
    <w:p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68 </w:t>
      </w:r>
      <w:r>
        <w:rPr>
          <w:rFonts w:ascii="Arial" w:hAnsi="Arial" w:cs="Arial"/>
          <w:sz w:val="20"/>
          <w:szCs w:val="20"/>
        </w:rPr>
        <w:t xml:space="preserve">– Kazne, upravne mjere i ostali prihodi planirani su u iznosu od </w:t>
      </w:r>
      <w:r w:rsidR="00EA45CB">
        <w:rPr>
          <w:rFonts w:ascii="Arial" w:hAnsi="Arial" w:cs="Arial"/>
          <w:sz w:val="20"/>
          <w:szCs w:val="20"/>
        </w:rPr>
        <w:t>730,00</w:t>
      </w:r>
      <w:r w:rsidR="006C0F27">
        <w:rPr>
          <w:rFonts w:ascii="Arial" w:hAnsi="Arial" w:cs="Arial"/>
          <w:sz w:val="20"/>
          <w:szCs w:val="20"/>
        </w:rPr>
        <w:t xml:space="preserve"> EUR</w:t>
      </w:r>
      <w:r w:rsidR="00EA45CB">
        <w:rPr>
          <w:rFonts w:ascii="Arial" w:hAnsi="Arial" w:cs="Arial"/>
          <w:sz w:val="20"/>
          <w:szCs w:val="20"/>
        </w:rPr>
        <w:t>.</w:t>
      </w:r>
    </w:p>
    <w:p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5A3679" w:rsidRDefault="005A3679" w:rsidP="00EA45CB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71</w:t>
      </w:r>
      <w:r w:rsidR="00EA45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- Prihodi od prodaje nefinancijske imovine planiraju se u iznosu od </w:t>
      </w:r>
      <w:r w:rsidR="00EA45CB">
        <w:rPr>
          <w:rFonts w:ascii="Arial" w:hAnsi="Arial" w:cs="Arial"/>
          <w:sz w:val="20"/>
          <w:szCs w:val="20"/>
        </w:rPr>
        <w:t xml:space="preserve">340.540,00 </w:t>
      </w:r>
      <w:r w:rsidR="006C0F27">
        <w:rPr>
          <w:rFonts w:ascii="Arial" w:hAnsi="Arial" w:cs="Arial"/>
          <w:sz w:val="20"/>
          <w:szCs w:val="20"/>
        </w:rPr>
        <w:t>EUR</w:t>
      </w:r>
      <w:r w:rsidR="00EA45CB">
        <w:rPr>
          <w:rFonts w:ascii="Arial" w:hAnsi="Arial" w:cs="Arial"/>
          <w:sz w:val="20"/>
          <w:szCs w:val="20"/>
        </w:rPr>
        <w:t>, odnose se na planiranu prodaju pašnjaka.</w:t>
      </w:r>
    </w:p>
    <w:p w:rsidR="005A3679" w:rsidRDefault="005A3679" w:rsidP="005976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84</w:t>
      </w:r>
      <w:r>
        <w:rPr>
          <w:rFonts w:ascii="Arial" w:hAnsi="Arial" w:cs="Arial"/>
          <w:sz w:val="20"/>
          <w:szCs w:val="20"/>
        </w:rPr>
        <w:t xml:space="preserve"> - Primici od financijske imovine i zaduživanja </w:t>
      </w:r>
      <w:r w:rsidR="00EA45CB">
        <w:rPr>
          <w:rFonts w:ascii="Arial" w:hAnsi="Arial" w:cs="Arial"/>
          <w:sz w:val="20"/>
          <w:szCs w:val="20"/>
        </w:rPr>
        <w:t>nisu planirani za 2023.</w:t>
      </w:r>
    </w:p>
    <w:p w:rsidR="007E5C02" w:rsidRPr="005976D6" w:rsidRDefault="007E5C02" w:rsidP="005976D6">
      <w:pPr>
        <w:jc w:val="both"/>
        <w:rPr>
          <w:rFonts w:ascii="Arial" w:hAnsi="Arial" w:cs="Arial"/>
          <w:sz w:val="20"/>
          <w:szCs w:val="20"/>
        </w:rPr>
      </w:pPr>
    </w:p>
    <w:p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6" w:name="_Toc90259047"/>
      <w:r>
        <w:rPr>
          <w:rFonts w:ascii="Arial" w:hAnsi="Arial" w:cs="Arial"/>
          <w:color w:val="auto"/>
          <w:sz w:val="28"/>
          <w:szCs w:val="28"/>
          <w:u w:val="single"/>
        </w:rPr>
        <w:lastRenderedPageBreak/>
        <w:t>B. RASHODI I IZDACI</w:t>
      </w:r>
      <w:bookmarkEnd w:id="6"/>
    </w:p>
    <w:p w:rsidR="005A3679" w:rsidRDefault="005A3679" w:rsidP="005A3679">
      <w:pPr>
        <w:pStyle w:val="Tijeloteksta"/>
        <w:spacing w:after="0"/>
      </w:pPr>
    </w:p>
    <w:p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Prijedlogom Proračuna </w:t>
      </w:r>
      <w:r w:rsidR="00985A72">
        <w:rPr>
          <w:rFonts w:ascii="Arial" w:hAnsi="Arial" w:cs="Arial"/>
          <w:sz w:val="20"/>
          <w:szCs w:val="20"/>
        </w:rPr>
        <w:t xml:space="preserve">Općine </w:t>
      </w:r>
      <w:proofErr w:type="spellStart"/>
      <w:r w:rsidR="00985A72">
        <w:rPr>
          <w:rFonts w:ascii="Arial" w:hAnsi="Arial" w:cs="Arial"/>
          <w:sz w:val="20"/>
          <w:szCs w:val="20"/>
        </w:rPr>
        <w:t>Vođinci</w:t>
      </w:r>
      <w:proofErr w:type="spellEnd"/>
      <w:r>
        <w:rPr>
          <w:rFonts w:ascii="Arial" w:hAnsi="Arial" w:cs="Arial"/>
          <w:sz w:val="20"/>
          <w:szCs w:val="20"/>
        </w:rPr>
        <w:t xml:space="preserve"> za 202</w:t>
      </w:r>
      <w:r w:rsidR="00BA556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godinu planiraju se rashodi i izdaci u iznosu od </w:t>
      </w:r>
      <w:r w:rsidR="00DC416F">
        <w:rPr>
          <w:rFonts w:ascii="Arial" w:hAnsi="Arial" w:cs="Arial"/>
          <w:sz w:val="20"/>
          <w:szCs w:val="20"/>
        </w:rPr>
        <w:t>1.999.519,00</w:t>
      </w:r>
      <w:r w:rsidR="00985A72">
        <w:rPr>
          <w:rFonts w:ascii="Arial" w:hAnsi="Arial" w:cs="Arial"/>
          <w:sz w:val="20"/>
          <w:szCs w:val="20"/>
        </w:rPr>
        <w:t xml:space="preserve"> </w:t>
      </w:r>
      <w:r w:rsidR="00BA556E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 xml:space="preserve"> što je </w:t>
      </w:r>
      <w:r w:rsidR="00DC416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 </w:t>
      </w:r>
      <w:r w:rsidR="00DC416F">
        <w:rPr>
          <w:rFonts w:ascii="Arial" w:hAnsi="Arial" w:cs="Arial"/>
          <w:sz w:val="20"/>
          <w:szCs w:val="20"/>
        </w:rPr>
        <w:t>6</w:t>
      </w:r>
      <w:r w:rsidR="00985A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</w:t>
      </w:r>
      <w:r w:rsidR="00DC416F">
        <w:rPr>
          <w:rFonts w:ascii="Arial" w:hAnsi="Arial" w:cs="Arial"/>
          <w:sz w:val="20"/>
          <w:szCs w:val="20"/>
        </w:rPr>
        <w:t xml:space="preserve">manje </w:t>
      </w:r>
      <w:r>
        <w:rPr>
          <w:rFonts w:ascii="Arial" w:hAnsi="Arial" w:cs="Arial"/>
          <w:sz w:val="20"/>
          <w:szCs w:val="20"/>
        </w:rPr>
        <w:t xml:space="preserve">u odnosu na planirane rashode i izdatke Proračuna </w:t>
      </w:r>
      <w:r w:rsidR="00985A72">
        <w:rPr>
          <w:rFonts w:ascii="Arial" w:hAnsi="Arial" w:cs="Arial"/>
          <w:sz w:val="20"/>
          <w:szCs w:val="20"/>
        </w:rPr>
        <w:t xml:space="preserve">Općine </w:t>
      </w:r>
      <w:proofErr w:type="spellStart"/>
      <w:r w:rsidR="00985A72">
        <w:rPr>
          <w:rFonts w:ascii="Arial" w:hAnsi="Arial" w:cs="Arial"/>
          <w:sz w:val="20"/>
          <w:szCs w:val="20"/>
        </w:rPr>
        <w:t>Vođinci</w:t>
      </w:r>
      <w:proofErr w:type="spellEnd"/>
      <w:r>
        <w:rPr>
          <w:rFonts w:ascii="Arial" w:hAnsi="Arial" w:cs="Arial"/>
          <w:sz w:val="20"/>
          <w:szCs w:val="20"/>
        </w:rPr>
        <w:t xml:space="preserve"> za 202</w:t>
      </w:r>
      <w:r w:rsidR="00BA556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godinu. </w:t>
      </w:r>
    </w:p>
    <w:p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tog iznosa </w:t>
      </w:r>
      <w:r w:rsidR="003B04F1">
        <w:rPr>
          <w:rFonts w:ascii="Arial" w:hAnsi="Arial" w:cs="Arial"/>
          <w:sz w:val="20"/>
          <w:szCs w:val="20"/>
        </w:rPr>
        <w:t xml:space="preserve">160.502,00 </w:t>
      </w:r>
      <w:r w:rsidR="00BA556E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 xml:space="preserve"> odnosi se na rashode </w:t>
      </w:r>
      <w:r w:rsidR="003B04F1">
        <w:rPr>
          <w:rFonts w:ascii="Arial" w:hAnsi="Arial" w:cs="Arial"/>
          <w:sz w:val="20"/>
          <w:szCs w:val="20"/>
        </w:rPr>
        <w:t xml:space="preserve">za redovnu djelatnost predškolske ustanove DV „Mladost“ </w:t>
      </w:r>
      <w:proofErr w:type="spellStart"/>
      <w:r w:rsidR="003B04F1">
        <w:rPr>
          <w:rFonts w:ascii="Arial" w:hAnsi="Arial" w:cs="Arial"/>
          <w:sz w:val="20"/>
          <w:szCs w:val="20"/>
        </w:rPr>
        <w:t>Vođinci</w:t>
      </w:r>
      <w:proofErr w:type="spellEnd"/>
      <w:r w:rsidR="003B04F1">
        <w:rPr>
          <w:rFonts w:ascii="Arial" w:hAnsi="Arial" w:cs="Arial"/>
          <w:sz w:val="20"/>
          <w:szCs w:val="20"/>
        </w:rPr>
        <w:t>.</w:t>
      </w:r>
    </w:p>
    <w:p w:rsidR="003B04F1" w:rsidRDefault="003B04F1" w:rsidP="005A3679">
      <w:pPr>
        <w:pStyle w:val="Tijeloteksta"/>
        <w:jc w:val="both"/>
        <w:rPr>
          <w:rFonts w:ascii="Arial" w:hAnsi="Arial" w:cs="Arial"/>
          <w:bCs/>
          <w:sz w:val="20"/>
          <w:szCs w:val="20"/>
        </w:rPr>
      </w:pPr>
    </w:p>
    <w:p w:rsidR="005A3679" w:rsidRDefault="005A3679" w:rsidP="005A3679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Tablica 2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Planirani rashodi i izdaci Proračuna </w:t>
      </w:r>
      <w:r w:rsidR="003B04F1">
        <w:rPr>
          <w:rFonts w:ascii="Arial" w:hAnsi="Arial" w:cs="Arial"/>
          <w:b/>
          <w:color w:val="000000" w:themeColor="text1"/>
          <w:sz w:val="20"/>
          <w:szCs w:val="20"/>
        </w:rPr>
        <w:t xml:space="preserve">Općine </w:t>
      </w:r>
      <w:proofErr w:type="spellStart"/>
      <w:r w:rsidR="003B04F1">
        <w:rPr>
          <w:rFonts w:ascii="Arial" w:hAnsi="Arial" w:cs="Arial"/>
          <w:b/>
          <w:color w:val="000000" w:themeColor="text1"/>
          <w:sz w:val="20"/>
          <w:szCs w:val="20"/>
        </w:rPr>
        <w:t>Vođinci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za 202</w:t>
      </w:r>
      <w:r w:rsidR="00BA556E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122"/>
        <w:tblW w:w="11199" w:type="dxa"/>
        <w:tblLook w:val="04A0" w:firstRow="1" w:lastRow="0" w:firstColumn="1" w:lastColumn="0" w:noHBand="0" w:noVBand="1"/>
      </w:tblPr>
      <w:tblGrid>
        <w:gridCol w:w="942"/>
        <w:gridCol w:w="5124"/>
        <w:gridCol w:w="1478"/>
        <w:gridCol w:w="1478"/>
        <w:gridCol w:w="890"/>
        <w:gridCol w:w="1303"/>
      </w:tblGrid>
      <w:tr w:rsidR="005976D6" w:rsidRPr="005976D6" w:rsidTr="003B04F1">
        <w:trPr>
          <w:trHeight w:val="601"/>
        </w:trPr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BROJ KONTA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6D6" w:rsidRPr="005976D6" w:rsidRDefault="005976D6" w:rsidP="005976D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VRSTA RASHODA/IZDATKA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6D6" w:rsidRPr="005976D6" w:rsidRDefault="005976D6" w:rsidP="003B04F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 xml:space="preserve">PLAN 2022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6D6" w:rsidRPr="005976D6" w:rsidRDefault="005976D6" w:rsidP="005976D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PLAN 2023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6D6" w:rsidRPr="005976D6" w:rsidRDefault="005976D6" w:rsidP="005976D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INDEKS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76D6" w:rsidRPr="005976D6" w:rsidRDefault="005976D6" w:rsidP="005976D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5976D6" w:rsidRPr="005976D6" w:rsidTr="003B04F1">
        <w:trPr>
          <w:trHeight w:val="290"/>
        </w:trPr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UKUPNO RASHODI/IZDACI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2.124.707,65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</w:tcPr>
          <w:p w:rsidR="005976D6" w:rsidRPr="005976D6" w:rsidRDefault="00DC416F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 w:rsidRPr="00DC41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1.999.519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</w:tcPr>
          <w:p w:rsidR="005976D6" w:rsidRPr="005976D6" w:rsidRDefault="00DC416F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94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5976D6" w:rsidRPr="005976D6" w:rsidTr="003B04F1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Rashodi poslovanja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859.859,30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830.838,00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96,62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5976D6" w:rsidRPr="005976D6" w:rsidTr="003B04F1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Rashodi za zaposlene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318.269,30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322.114,00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101,21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5976D6" w:rsidRPr="005976D6" w:rsidTr="003B04F1">
        <w:trPr>
          <w:trHeight w:val="313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Materijalni rashodi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342.996,88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304.819,00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88,87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5976D6" w:rsidRPr="005976D6" w:rsidTr="003B04F1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Financijski rashodi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16.232,00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16.232,00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5976D6" w:rsidRPr="005976D6" w:rsidTr="003B04F1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Subvencije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1.327,23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1.327,00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99,98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5976D6" w:rsidRPr="005976D6" w:rsidTr="003B04F1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Pomoći dane u inozemstvo i unutar općeg proračuna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1.990,84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1.991,00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100,01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5976D6" w:rsidRPr="005976D6" w:rsidTr="003B04F1">
        <w:trPr>
          <w:trHeight w:val="601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39.816,84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42.471,00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106,67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5976D6" w:rsidRPr="005976D6" w:rsidTr="003B04F1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38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Ostali rashodi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139.226,21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141.884,00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101,91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5976D6" w:rsidRPr="005976D6" w:rsidTr="003B04F1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Rashodi za nabavu nefinancijske imovine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866.679,92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903.235,00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104,22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5976D6" w:rsidRPr="005976D6" w:rsidTr="003B04F1">
        <w:trPr>
          <w:trHeight w:val="269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5976D6" w:rsidRPr="005976D6" w:rsidTr="003B04F1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42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Rashodi za nabavu proizvedene dugotrajne imovine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376.932,76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402.869,00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106,88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5976D6" w:rsidRPr="005976D6" w:rsidTr="003B04F1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45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Rashodi za dodatna ulaganja na nefinancijskoj imovini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489.747,16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500.366,00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102,17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5976D6" w:rsidRPr="005976D6" w:rsidTr="003B04F1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Izdaci za financijsku imovinu i otplate zajmova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398.168,43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265.446,00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5976D6" w:rsidRPr="005976D6" w:rsidRDefault="003B04F1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66,67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5976D6" w:rsidRPr="005976D6" w:rsidTr="003B04F1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5976D6" w:rsidRPr="005976D6" w:rsidTr="00C472C4">
        <w:trPr>
          <w:trHeight w:val="80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54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76D6" w:rsidRPr="005976D6" w:rsidRDefault="005976D6" w:rsidP="005976D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Izdaci za otplatu glavnice primljenih kredita i zajmova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C472C4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398.168,43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C472C4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265.446,00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C472C4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66,67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76D6" w:rsidRPr="005976D6" w:rsidRDefault="005976D6" w:rsidP="005976D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</w:tbl>
    <w:p w:rsidR="005A3679" w:rsidRDefault="005A3679" w:rsidP="005A3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</w:p>
    <w:p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31</w:t>
      </w:r>
      <w:r w:rsidR="001774B4">
        <w:rPr>
          <w:rFonts w:ascii="Arial" w:hAnsi="Arial" w:cs="Arial"/>
          <w:sz w:val="20"/>
          <w:szCs w:val="20"/>
        </w:rPr>
        <w:t xml:space="preserve"> - Rashodi za zaposlene Općine i proračunskog korisnika, zaposlenih u programu </w:t>
      </w:r>
      <w:r w:rsidR="00DC416F">
        <w:rPr>
          <w:rFonts w:ascii="Arial" w:hAnsi="Arial" w:cs="Arial"/>
          <w:sz w:val="20"/>
          <w:szCs w:val="20"/>
        </w:rPr>
        <w:t>„Z</w:t>
      </w:r>
      <w:r w:rsidR="001774B4">
        <w:rPr>
          <w:rFonts w:ascii="Arial" w:hAnsi="Arial" w:cs="Arial"/>
          <w:sz w:val="20"/>
          <w:szCs w:val="20"/>
        </w:rPr>
        <w:t>aželi“ i zaposleni u javnim radovima.</w:t>
      </w:r>
      <w:r>
        <w:rPr>
          <w:rFonts w:ascii="Arial" w:hAnsi="Arial" w:cs="Arial"/>
          <w:noProof/>
          <w:snapToGrid w:val="0"/>
          <w:sz w:val="20"/>
          <w:szCs w:val="20"/>
        </w:rPr>
        <w:tab/>
      </w:r>
    </w:p>
    <w:p w:rsidR="005A3679" w:rsidRDefault="005A3679" w:rsidP="001774B4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32</w:t>
      </w:r>
      <w:r>
        <w:rPr>
          <w:rFonts w:ascii="Arial" w:hAnsi="Arial" w:cs="Arial"/>
          <w:sz w:val="20"/>
          <w:szCs w:val="20"/>
        </w:rPr>
        <w:t xml:space="preserve"> - Materijalni rashodi </w:t>
      </w:r>
      <w:r w:rsidR="001774B4">
        <w:rPr>
          <w:rFonts w:ascii="Arial" w:hAnsi="Arial" w:cs="Arial"/>
          <w:sz w:val="20"/>
          <w:szCs w:val="20"/>
        </w:rPr>
        <w:t>sastoje se od naknade troškova zaposlenima, nakn</w:t>
      </w:r>
      <w:r w:rsidR="00DC416F">
        <w:rPr>
          <w:rFonts w:ascii="Arial" w:hAnsi="Arial" w:cs="Arial"/>
          <w:sz w:val="20"/>
          <w:szCs w:val="20"/>
        </w:rPr>
        <w:t>a</w:t>
      </w:r>
      <w:r w:rsidR="001774B4">
        <w:rPr>
          <w:rFonts w:ascii="Arial" w:hAnsi="Arial" w:cs="Arial"/>
          <w:sz w:val="20"/>
          <w:szCs w:val="20"/>
        </w:rPr>
        <w:t xml:space="preserve">de za prijevoz, rad na terenu i odvojen život, stručno usavršavanje zaposlenika, rashode za materijal i energiju (uredski materijal, energija, plin, gorivo), materijal i dijelove za tekuće i investicijsko održavanje, sitni inventar i auto gume, službena, radna i zaštitna odjeća i obuća, rashodi za usluge (telefona, poštarine), usluge tekućeg i investicijskog održavanja, usluge promidžbe i informiranja </w:t>
      </w:r>
      <w:r w:rsidR="00DC416F">
        <w:rPr>
          <w:rFonts w:ascii="Arial" w:hAnsi="Arial" w:cs="Arial"/>
          <w:sz w:val="20"/>
          <w:szCs w:val="20"/>
        </w:rPr>
        <w:t>(</w:t>
      </w:r>
      <w:r w:rsidR="001774B4">
        <w:rPr>
          <w:rFonts w:ascii="Arial" w:hAnsi="Arial" w:cs="Arial"/>
          <w:sz w:val="20"/>
          <w:szCs w:val="20"/>
        </w:rPr>
        <w:t xml:space="preserve">elektronski mediji, tisak, promidžbeni materijal), komunalne usluge </w:t>
      </w:r>
      <w:r w:rsidR="00DC416F">
        <w:rPr>
          <w:rFonts w:ascii="Arial" w:hAnsi="Arial" w:cs="Arial"/>
          <w:sz w:val="20"/>
          <w:szCs w:val="20"/>
        </w:rPr>
        <w:t>(</w:t>
      </w:r>
      <w:r w:rsidR="001774B4">
        <w:rPr>
          <w:rFonts w:ascii="Arial" w:hAnsi="Arial" w:cs="Arial"/>
          <w:sz w:val="20"/>
          <w:szCs w:val="20"/>
        </w:rPr>
        <w:t xml:space="preserve">opskrba vodom, deratizacija i dezinsekcija, ostale komunalne usluge), zdravstvene i veterinarske usluge, </w:t>
      </w:r>
      <w:r w:rsidR="003F0722">
        <w:rPr>
          <w:rFonts w:ascii="Arial" w:hAnsi="Arial" w:cs="Arial"/>
          <w:sz w:val="20"/>
          <w:szCs w:val="20"/>
        </w:rPr>
        <w:t>intelektualne i osobne usluge (u</w:t>
      </w:r>
      <w:r w:rsidR="001774B4">
        <w:rPr>
          <w:rFonts w:ascii="Arial" w:hAnsi="Arial" w:cs="Arial"/>
          <w:sz w:val="20"/>
          <w:szCs w:val="20"/>
        </w:rPr>
        <w:t>govori o djelu, odvjetničke usluge, geodetsko-katastarske usluge), računalne usluge, ostale usluge (grafičke i tiskarske usluge, registracija prijevoznih sredstava, ostale nespomenute usluge)</w:t>
      </w:r>
      <w:r w:rsidR="00907D58">
        <w:rPr>
          <w:rFonts w:ascii="Arial" w:hAnsi="Arial" w:cs="Arial"/>
          <w:sz w:val="20"/>
          <w:szCs w:val="20"/>
        </w:rPr>
        <w:t xml:space="preserve">, premije osiguranja (imovine i prijevoznih sredstava), reprezentacija, članarine, pristojbe i naknade,  </w:t>
      </w:r>
      <w:r w:rsidR="003F0722">
        <w:rPr>
          <w:rFonts w:ascii="Arial" w:hAnsi="Arial" w:cs="Arial"/>
          <w:sz w:val="20"/>
          <w:szCs w:val="20"/>
        </w:rPr>
        <w:t>t</w:t>
      </w:r>
      <w:r w:rsidR="00907D58">
        <w:rPr>
          <w:rFonts w:ascii="Arial" w:hAnsi="Arial" w:cs="Arial"/>
          <w:sz w:val="20"/>
          <w:szCs w:val="20"/>
        </w:rPr>
        <w:t>e ostali nespomenuti rashodi poslovanja (rashodi protokola).</w:t>
      </w:r>
    </w:p>
    <w:p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34</w:t>
      </w:r>
      <w:r>
        <w:rPr>
          <w:rFonts w:ascii="Arial" w:hAnsi="Arial" w:cs="Arial"/>
          <w:sz w:val="20"/>
          <w:szCs w:val="20"/>
        </w:rPr>
        <w:t xml:space="preserve"> - Financijski rashodi koji uključuju otplatu kamata te usluge banaka i platno</w:t>
      </w:r>
      <w:r w:rsidR="00907D58">
        <w:rPr>
          <w:rFonts w:ascii="Arial" w:hAnsi="Arial" w:cs="Arial"/>
          <w:sz w:val="20"/>
          <w:szCs w:val="20"/>
        </w:rPr>
        <w:t>g prometa.</w:t>
      </w:r>
    </w:p>
    <w:p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35</w:t>
      </w:r>
      <w:r>
        <w:rPr>
          <w:rFonts w:ascii="Arial" w:hAnsi="Arial" w:cs="Arial"/>
          <w:sz w:val="20"/>
          <w:szCs w:val="20"/>
        </w:rPr>
        <w:t xml:space="preserve"> - Rashodi za subvencije </w:t>
      </w:r>
      <w:r w:rsidR="00907D58">
        <w:rPr>
          <w:rFonts w:ascii="Arial" w:hAnsi="Arial" w:cs="Arial"/>
          <w:sz w:val="20"/>
          <w:szCs w:val="20"/>
        </w:rPr>
        <w:t>odnose se na subvencije poljoprivrednicima,</w:t>
      </w:r>
    </w:p>
    <w:p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36</w:t>
      </w:r>
      <w:r>
        <w:rPr>
          <w:rFonts w:ascii="Arial" w:hAnsi="Arial" w:cs="Arial"/>
          <w:sz w:val="20"/>
          <w:szCs w:val="20"/>
        </w:rPr>
        <w:t xml:space="preserve"> – Pomoći dane u inoze</w:t>
      </w:r>
      <w:r w:rsidR="00907D58">
        <w:rPr>
          <w:rFonts w:ascii="Arial" w:hAnsi="Arial" w:cs="Arial"/>
          <w:sz w:val="20"/>
          <w:szCs w:val="20"/>
        </w:rPr>
        <w:t xml:space="preserve">mstvo i unutar općeg proračuna </w:t>
      </w:r>
    </w:p>
    <w:p w:rsidR="005A3679" w:rsidRDefault="005A3679" w:rsidP="00907D58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37</w:t>
      </w:r>
      <w:r>
        <w:rPr>
          <w:rFonts w:ascii="Arial" w:hAnsi="Arial" w:cs="Arial"/>
          <w:sz w:val="20"/>
          <w:szCs w:val="20"/>
        </w:rPr>
        <w:t xml:space="preserve"> - Naknade građanima i kućanstvima </w:t>
      </w:r>
      <w:r w:rsidR="00907D58">
        <w:rPr>
          <w:rFonts w:ascii="Arial" w:hAnsi="Arial" w:cs="Arial"/>
          <w:sz w:val="20"/>
          <w:szCs w:val="20"/>
        </w:rPr>
        <w:t>odnose se na pomoć obiteljima i kućanstvima, stipendije i školarine, naknade za novorođenčad i ostale naknade iz proračuna u novcu.</w:t>
      </w:r>
    </w:p>
    <w:p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38 - </w:t>
      </w:r>
      <w:r>
        <w:rPr>
          <w:rFonts w:ascii="Arial" w:hAnsi="Arial" w:cs="Arial"/>
          <w:sz w:val="20"/>
          <w:szCs w:val="20"/>
        </w:rPr>
        <w:t xml:space="preserve">Ostali rashodi </w:t>
      </w:r>
      <w:r w:rsidR="00907D58">
        <w:rPr>
          <w:rFonts w:ascii="Arial" w:hAnsi="Arial" w:cs="Arial"/>
          <w:sz w:val="20"/>
          <w:szCs w:val="20"/>
        </w:rPr>
        <w:t>sastoje se od tekućih donacija u novcu (vjerskim zajednicama, udrugama i političkim strankama, športskim društvima, građanima i kućanstvima, humanitarnim organizacijama</w:t>
      </w:r>
      <w:r w:rsidR="00D440DB">
        <w:rPr>
          <w:rFonts w:ascii="Arial" w:hAnsi="Arial" w:cs="Arial"/>
          <w:sz w:val="20"/>
          <w:szCs w:val="20"/>
        </w:rPr>
        <w:t>), tekućih donacija u naravi, kapitalnih donacija i pomoći.</w:t>
      </w:r>
    </w:p>
    <w:p w:rsidR="005A3679" w:rsidRPr="00D440DB" w:rsidRDefault="005A3679" w:rsidP="00D440DB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Skupina 42</w:t>
      </w:r>
      <w:r>
        <w:rPr>
          <w:rFonts w:ascii="Arial" w:hAnsi="Arial" w:cs="Arial"/>
          <w:sz w:val="20"/>
          <w:szCs w:val="20"/>
        </w:rPr>
        <w:t xml:space="preserve"> - Unutar rashoda za nabavu </w:t>
      </w:r>
      <w:r w:rsidR="00D440DB">
        <w:rPr>
          <w:rFonts w:ascii="Arial" w:hAnsi="Arial" w:cs="Arial"/>
          <w:sz w:val="20"/>
          <w:szCs w:val="20"/>
        </w:rPr>
        <w:t xml:space="preserve">nefinancijske </w:t>
      </w:r>
      <w:r>
        <w:rPr>
          <w:rFonts w:ascii="Arial" w:hAnsi="Arial" w:cs="Arial"/>
          <w:sz w:val="20"/>
          <w:szCs w:val="20"/>
        </w:rPr>
        <w:t xml:space="preserve">imovine, </w:t>
      </w:r>
      <w:r w:rsidRPr="00D440DB">
        <w:rPr>
          <w:rFonts w:ascii="Arial" w:hAnsi="Arial" w:cs="Arial"/>
          <w:i/>
          <w:sz w:val="20"/>
          <w:szCs w:val="20"/>
        </w:rPr>
        <w:t xml:space="preserve">rashodi za nabavu </w:t>
      </w:r>
      <w:proofErr w:type="spellStart"/>
      <w:r w:rsidRPr="00D440DB">
        <w:rPr>
          <w:rFonts w:ascii="Arial" w:hAnsi="Arial" w:cs="Arial"/>
          <w:i/>
          <w:sz w:val="20"/>
          <w:szCs w:val="20"/>
        </w:rPr>
        <w:t>neproizvedene</w:t>
      </w:r>
      <w:proofErr w:type="spellEnd"/>
      <w:r w:rsidRPr="00D440DB">
        <w:rPr>
          <w:rFonts w:ascii="Arial" w:hAnsi="Arial" w:cs="Arial"/>
          <w:i/>
          <w:sz w:val="20"/>
          <w:szCs w:val="20"/>
        </w:rPr>
        <w:t xml:space="preserve"> dugotrajne imovine</w:t>
      </w:r>
      <w:r w:rsidRPr="00D440DB">
        <w:rPr>
          <w:rFonts w:ascii="Arial" w:hAnsi="Arial" w:cs="Arial"/>
          <w:sz w:val="20"/>
          <w:szCs w:val="20"/>
        </w:rPr>
        <w:t xml:space="preserve"> odnose se na </w:t>
      </w:r>
      <w:r w:rsidR="00D440DB">
        <w:rPr>
          <w:rFonts w:ascii="Arial" w:hAnsi="Arial" w:cs="Arial"/>
          <w:sz w:val="20"/>
          <w:szCs w:val="20"/>
        </w:rPr>
        <w:t>ulaganja i rekonstrukciju poslovnih objekata, cesta, sportskih i rekreacijskih terena, javnu rasvjetu, nabavu uredske opreme i namještaja, komunikacijsku opremu, opremu za održavanje i zaštitu (oprema za grijanje, ventilaciju i hlađenje), ulaganja u računalne programe.</w:t>
      </w:r>
    </w:p>
    <w:p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45</w:t>
      </w:r>
      <w:r>
        <w:rPr>
          <w:rFonts w:ascii="Arial" w:hAnsi="Arial" w:cs="Arial"/>
          <w:sz w:val="20"/>
          <w:szCs w:val="20"/>
        </w:rPr>
        <w:t xml:space="preserve"> - Rashodi za dodatna ulaganja na nefinancijskoj imovini </w:t>
      </w:r>
      <w:r w:rsidR="00D440DB">
        <w:rPr>
          <w:rFonts w:ascii="Arial" w:hAnsi="Arial" w:cs="Arial"/>
          <w:sz w:val="20"/>
          <w:szCs w:val="20"/>
        </w:rPr>
        <w:t>odnose se na dodatna ulaganja na građevinskim objektima.</w:t>
      </w:r>
    </w:p>
    <w:p w:rsidR="00625528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Skupina 54 </w:t>
      </w:r>
      <w:r>
        <w:rPr>
          <w:rFonts w:ascii="Arial" w:hAnsi="Arial" w:cs="Arial"/>
          <w:iCs/>
          <w:sz w:val="20"/>
          <w:szCs w:val="20"/>
        </w:rPr>
        <w:t xml:space="preserve">- Izdaci </w:t>
      </w:r>
      <w:r w:rsidR="00D440DB">
        <w:rPr>
          <w:rFonts w:ascii="Arial" w:hAnsi="Arial" w:cs="Arial"/>
          <w:iCs/>
          <w:sz w:val="20"/>
          <w:szCs w:val="20"/>
        </w:rPr>
        <w:t>za otplatu glavnice primljenih kredita i zajmova odnose se na otplatu kredita kod HPB-a.</w:t>
      </w:r>
    </w:p>
    <w:p w:rsidR="00625528" w:rsidRPr="00625528" w:rsidRDefault="00625528" w:rsidP="00625528">
      <w:pPr>
        <w:pStyle w:val="Naslov2"/>
        <w:rPr>
          <w:rFonts w:ascii="Arial" w:hAnsi="Arial" w:cs="Arial"/>
          <w:iCs/>
          <w:color w:val="auto"/>
          <w:sz w:val="28"/>
          <w:szCs w:val="28"/>
          <w:u w:val="single"/>
        </w:rPr>
      </w:pPr>
      <w:proofErr w:type="spellStart"/>
      <w:r w:rsidRPr="00625528">
        <w:rPr>
          <w:rFonts w:ascii="Arial" w:hAnsi="Arial" w:cs="Arial"/>
          <w:color w:val="auto"/>
          <w:sz w:val="28"/>
          <w:szCs w:val="28"/>
          <w:u w:val="single"/>
        </w:rPr>
        <w:t>C.PRENESENI</w:t>
      </w:r>
      <w:proofErr w:type="spellEnd"/>
      <w:r w:rsidRPr="00625528">
        <w:rPr>
          <w:rFonts w:ascii="Arial" w:hAnsi="Arial" w:cs="Arial"/>
          <w:color w:val="auto"/>
          <w:sz w:val="28"/>
          <w:szCs w:val="28"/>
          <w:u w:val="single"/>
        </w:rPr>
        <w:t xml:space="preserve"> </w:t>
      </w:r>
      <w:r w:rsidR="00D440DB">
        <w:rPr>
          <w:rFonts w:ascii="Arial" w:hAnsi="Arial" w:cs="Arial"/>
          <w:color w:val="auto"/>
          <w:sz w:val="28"/>
          <w:szCs w:val="28"/>
          <w:u w:val="single"/>
        </w:rPr>
        <w:t>MANJAK</w:t>
      </w:r>
      <w:r w:rsidRPr="00625528">
        <w:rPr>
          <w:rFonts w:ascii="Arial" w:hAnsi="Arial" w:cs="Arial"/>
          <w:color w:val="auto"/>
          <w:sz w:val="28"/>
          <w:szCs w:val="28"/>
          <w:u w:val="single"/>
        </w:rPr>
        <w:t xml:space="preserve"> PRORAČUNA</w:t>
      </w:r>
    </w:p>
    <w:p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</w:p>
    <w:p w:rsidR="005A3679" w:rsidRDefault="00625528" w:rsidP="00D440D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25528">
        <w:rPr>
          <w:rFonts w:ascii="Arial" w:hAnsi="Arial" w:cs="Arial"/>
          <w:sz w:val="20"/>
          <w:szCs w:val="20"/>
        </w:rPr>
        <w:t xml:space="preserve">Preneseni </w:t>
      </w:r>
      <w:r w:rsidR="00D440DB">
        <w:rPr>
          <w:rFonts w:ascii="Arial" w:hAnsi="Arial" w:cs="Arial"/>
          <w:sz w:val="20"/>
          <w:szCs w:val="20"/>
        </w:rPr>
        <w:t xml:space="preserve">manjak iz prethodnih godina koji će se pokriti u planiranom razdoblju u visini od </w:t>
      </w:r>
      <w:r w:rsidRPr="00625528">
        <w:rPr>
          <w:rFonts w:ascii="Arial" w:hAnsi="Arial" w:cs="Arial"/>
          <w:sz w:val="20"/>
          <w:szCs w:val="20"/>
        </w:rPr>
        <w:t xml:space="preserve"> </w:t>
      </w:r>
      <w:r w:rsidR="00D440DB">
        <w:rPr>
          <w:rFonts w:ascii="Arial" w:hAnsi="Arial" w:cs="Arial"/>
          <w:sz w:val="20"/>
          <w:szCs w:val="20"/>
        </w:rPr>
        <w:t xml:space="preserve">199.083,00 </w:t>
      </w:r>
      <w:r w:rsidRPr="00625528">
        <w:rPr>
          <w:rFonts w:ascii="Arial" w:hAnsi="Arial" w:cs="Arial"/>
          <w:sz w:val="20"/>
          <w:szCs w:val="20"/>
        </w:rPr>
        <w:t xml:space="preserve">EUR odnosi se na </w:t>
      </w:r>
      <w:r w:rsidR="00D440DB">
        <w:rPr>
          <w:rFonts w:ascii="Arial" w:hAnsi="Arial" w:cs="Arial"/>
          <w:sz w:val="20"/>
          <w:szCs w:val="20"/>
        </w:rPr>
        <w:t>sredstva koja su potrošena iz vlastitih izvora, a planirana pokriti se iz tekućih pomoći iz državnog proračuna temeljem prijenosa EU sredstava za ko</w:t>
      </w:r>
      <w:r w:rsidR="00A57EA4">
        <w:rPr>
          <w:rFonts w:ascii="Arial" w:hAnsi="Arial" w:cs="Arial"/>
          <w:sz w:val="20"/>
          <w:szCs w:val="20"/>
        </w:rPr>
        <w:t>ja Općina još uvijek nije primila</w:t>
      </w:r>
      <w:r w:rsidR="00D440DB">
        <w:rPr>
          <w:rFonts w:ascii="Arial" w:hAnsi="Arial" w:cs="Arial"/>
          <w:sz w:val="20"/>
          <w:szCs w:val="20"/>
        </w:rPr>
        <w:t xml:space="preserve"> sredstva, a planira ih dobiti u 2023. godini.</w:t>
      </w:r>
    </w:p>
    <w:p w:rsidR="00D440DB" w:rsidRDefault="00D440DB" w:rsidP="00D440D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440DB" w:rsidRDefault="00D440DB" w:rsidP="00D440DB">
      <w:pPr>
        <w:ind w:firstLine="708"/>
        <w:jc w:val="both"/>
        <w:rPr>
          <w:rFonts w:ascii="Arial" w:eastAsia="Times New Roman" w:hAnsi="Arial" w:cs="Arial"/>
          <w:b/>
          <w:bCs/>
          <w:i/>
          <w:kern w:val="0"/>
          <w:sz w:val="32"/>
          <w:szCs w:val="32"/>
          <w:highlight w:val="lightGray"/>
          <w:lang w:eastAsia="hr-HR" w:bidi="ar-SA"/>
        </w:rPr>
      </w:pPr>
    </w:p>
    <w:p w:rsidR="007E5C02" w:rsidRDefault="007E5C02" w:rsidP="00D440DB">
      <w:pPr>
        <w:ind w:firstLine="708"/>
        <w:jc w:val="both"/>
        <w:rPr>
          <w:rFonts w:ascii="Arial" w:eastAsia="Times New Roman" w:hAnsi="Arial" w:cs="Arial"/>
          <w:b/>
          <w:bCs/>
          <w:i/>
          <w:kern w:val="0"/>
          <w:sz w:val="32"/>
          <w:szCs w:val="32"/>
          <w:highlight w:val="lightGray"/>
          <w:lang w:eastAsia="hr-HR" w:bidi="ar-SA"/>
        </w:rPr>
      </w:pPr>
    </w:p>
    <w:p w:rsidR="005A3679" w:rsidRDefault="005A3679" w:rsidP="005A3679">
      <w:pPr>
        <w:pStyle w:val="Naslov1"/>
        <w:rPr>
          <w:rFonts w:ascii="Arial" w:hAnsi="Arial" w:cs="Arial"/>
          <w:i/>
          <w:sz w:val="32"/>
          <w:szCs w:val="32"/>
        </w:rPr>
      </w:pPr>
      <w:bookmarkStart w:id="7" w:name="_Toc90259048"/>
      <w:r>
        <w:rPr>
          <w:rFonts w:ascii="Arial" w:hAnsi="Arial" w:cs="Arial"/>
          <w:i/>
          <w:sz w:val="32"/>
          <w:szCs w:val="32"/>
          <w:highlight w:val="lightGray"/>
        </w:rPr>
        <w:t>POSEBNI DIO</w:t>
      </w:r>
      <w:bookmarkEnd w:id="7"/>
      <w:r>
        <w:rPr>
          <w:rFonts w:ascii="Arial" w:hAnsi="Arial" w:cs="Arial"/>
          <w:i/>
          <w:sz w:val="32"/>
          <w:szCs w:val="32"/>
        </w:rPr>
        <w:t xml:space="preserve"> </w:t>
      </w:r>
    </w:p>
    <w:p w:rsidR="005A3679" w:rsidRDefault="005A3679" w:rsidP="005A3679">
      <w:pPr>
        <w:jc w:val="both"/>
      </w:pPr>
    </w:p>
    <w:p w:rsidR="005A3679" w:rsidRDefault="005A3679" w:rsidP="005A3679">
      <w:pPr>
        <w:pStyle w:val="Naslov2"/>
        <w:jc w:val="center"/>
        <w:rPr>
          <w:rFonts w:ascii="Arial" w:hAnsi="Arial" w:cs="Arial"/>
          <w:color w:val="auto"/>
          <w:sz w:val="28"/>
          <w:szCs w:val="28"/>
          <w:u w:val="single"/>
        </w:rPr>
      </w:pPr>
      <w:bookmarkStart w:id="8" w:name="_Toc90259049"/>
      <w:r>
        <w:rPr>
          <w:rFonts w:ascii="Arial" w:hAnsi="Arial" w:cs="Arial"/>
          <w:color w:val="auto"/>
          <w:sz w:val="28"/>
          <w:szCs w:val="28"/>
          <w:u w:val="single"/>
        </w:rPr>
        <w:t>RASHODI I IZDACI PO ORGANIZACIJSKIM JEDINICAMA I PROGRAMIMA</w:t>
      </w:r>
      <w:bookmarkEnd w:id="8"/>
    </w:p>
    <w:p w:rsidR="00A57EA4" w:rsidRPr="00A57EA4" w:rsidRDefault="00A57EA4" w:rsidP="00A57EA4"/>
    <w:p w:rsidR="005A3679" w:rsidRDefault="005A3679" w:rsidP="005A3679">
      <w:pPr>
        <w:rPr>
          <w:rFonts w:ascii="Arial" w:hAnsi="Arial" w:cs="Arial"/>
          <w:color w:val="FF0000"/>
          <w:sz w:val="20"/>
          <w:szCs w:val="20"/>
        </w:rPr>
      </w:pPr>
    </w:p>
    <w:p w:rsidR="005A3679" w:rsidRDefault="005A3679" w:rsidP="005A3679">
      <w:pPr>
        <w:rPr>
          <w:rFonts w:ascii="Arial" w:hAnsi="Arial" w:cs="Arial"/>
          <w:color w:val="FF0000"/>
          <w:sz w:val="20"/>
          <w:szCs w:val="20"/>
        </w:rPr>
      </w:pPr>
    </w:p>
    <w:p w:rsidR="00F008B7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 w:rsidR="00625528">
        <w:rPr>
          <w:rFonts w:ascii="Arial" w:hAnsi="Arial" w:cs="Arial"/>
          <w:sz w:val="20"/>
          <w:szCs w:val="20"/>
        </w:rPr>
        <w:t xml:space="preserve">Obrazloženje posebnog dijela proračuna </w:t>
      </w:r>
      <w:r w:rsidR="00F008B7">
        <w:rPr>
          <w:rFonts w:ascii="Arial" w:hAnsi="Arial" w:cs="Arial"/>
          <w:sz w:val="20"/>
          <w:szCs w:val="20"/>
        </w:rPr>
        <w:t xml:space="preserve">sastoji se od obrazloženja programa koje se </w:t>
      </w:r>
      <w:r w:rsidR="00625528">
        <w:rPr>
          <w:rFonts w:ascii="Arial" w:hAnsi="Arial" w:cs="Arial"/>
          <w:sz w:val="20"/>
          <w:szCs w:val="20"/>
        </w:rPr>
        <w:t xml:space="preserve">daje kroz obrazloženje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aktivnosti i projekata zajedno s ciljevima i pokazateljima uspješnosti iz Provedbenog programa </w:t>
      </w:r>
      <w:r w:rsidR="00A57EA4">
        <w:rPr>
          <w:rFonts w:ascii="Arial" w:hAnsi="Arial" w:cs="Arial"/>
          <w:color w:val="000000" w:themeColor="text1"/>
          <w:sz w:val="20"/>
          <w:szCs w:val="20"/>
        </w:rPr>
        <w:t xml:space="preserve">Općine </w:t>
      </w:r>
      <w:proofErr w:type="spellStart"/>
      <w:r w:rsidR="00A57EA4">
        <w:rPr>
          <w:rFonts w:ascii="Arial" w:hAnsi="Arial" w:cs="Arial"/>
          <w:color w:val="000000" w:themeColor="text1"/>
          <w:sz w:val="20"/>
          <w:szCs w:val="20"/>
        </w:rPr>
        <w:t>V</w:t>
      </w:r>
      <w:r w:rsidR="00C47E04">
        <w:rPr>
          <w:rFonts w:ascii="Arial" w:hAnsi="Arial" w:cs="Arial"/>
          <w:color w:val="000000" w:themeColor="text1"/>
          <w:sz w:val="20"/>
          <w:szCs w:val="20"/>
        </w:rPr>
        <w:t>ođinci</w:t>
      </w:r>
      <w:proofErr w:type="spellEnd"/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 za mandatno razdoblje 2021.-2025. godine. </w:t>
      </w:r>
    </w:p>
    <w:p w:rsidR="004522BF" w:rsidRDefault="004522BF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522BF" w:rsidRDefault="004522BF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MISIJA </w:t>
      </w:r>
      <w:r w:rsidR="00C47E04">
        <w:rPr>
          <w:rFonts w:ascii="Arial" w:hAnsi="Arial" w:cs="Arial"/>
          <w:color w:val="000000" w:themeColor="text1"/>
          <w:sz w:val="20"/>
          <w:szCs w:val="20"/>
        </w:rPr>
        <w:t>OPĆINE VOĐINCI</w:t>
      </w:r>
    </w:p>
    <w:p w:rsidR="00C47E04" w:rsidRDefault="00C47E04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522BF" w:rsidRDefault="00C47E04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Općina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Vođinci</w:t>
      </w:r>
      <w:proofErr w:type="spellEnd"/>
      <w:r w:rsidR="004522BF">
        <w:rPr>
          <w:rFonts w:ascii="Arial" w:hAnsi="Arial" w:cs="Arial"/>
          <w:color w:val="000000" w:themeColor="text1"/>
          <w:sz w:val="20"/>
          <w:szCs w:val="20"/>
        </w:rPr>
        <w:t xml:space="preserve">, obavljanjem poslova iz samoupravnog djelokruga, na zakonit, učinkovit, ekonomičan i transparentan način unapređuje kvalitetu života i rada u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Vođincima</w:t>
      </w:r>
      <w:proofErr w:type="spellEnd"/>
      <w:r w:rsidR="004522BF">
        <w:rPr>
          <w:rFonts w:ascii="Arial" w:hAnsi="Arial" w:cs="Arial"/>
          <w:color w:val="000000" w:themeColor="text1"/>
          <w:sz w:val="20"/>
          <w:szCs w:val="20"/>
        </w:rPr>
        <w:t xml:space="preserve"> svim svojim </w:t>
      </w:r>
      <w:r>
        <w:rPr>
          <w:rFonts w:ascii="Arial" w:hAnsi="Arial" w:cs="Arial"/>
          <w:color w:val="000000" w:themeColor="text1"/>
          <w:sz w:val="20"/>
          <w:szCs w:val="20"/>
        </w:rPr>
        <w:t>mještanima</w:t>
      </w:r>
      <w:r w:rsidR="004522BF">
        <w:rPr>
          <w:rFonts w:ascii="Arial" w:hAnsi="Arial" w:cs="Arial"/>
          <w:color w:val="000000" w:themeColor="text1"/>
          <w:sz w:val="20"/>
          <w:szCs w:val="20"/>
        </w:rPr>
        <w:t xml:space="preserve"> pružanjem izvrsne usluge,</w:t>
      </w:r>
      <w:r w:rsidR="00A347F5">
        <w:rPr>
          <w:rFonts w:ascii="Arial" w:hAnsi="Arial" w:cs="Arial"/>
          <w:color w:val="000000" w:themeColor="text1"/>
          <w:sz w:val="20"/>
          <w:szCs w:val="20"/>
        </w:rPr>
        <w:t xml:space="preserve">dobrim gospodarenjem i razvojem infrastrukture, </w:t>
      </w:r>
      <w:r w:rsidR="004522BF">
        <w:rPr>
          <w:rFonts w:ascii="Arial" w:hAnsi="Arial" w:cs="Arial"/>
          <w:color w:val="000000" w:themeColor="text1"/>
          <w:sz w:val="20"/>
          <w:szCs w:val="20"/>
        </w:rPr>
        <w:t>omogućavanjem participacije u odlučivanju, odgovornim upravljanjem javnim dobrima, protokom informacija, te nadasve ljubaznim i efikasnim radom administracije.</w:t>
      </w:r>
    </w:p>
    <w:p w:rsidR="00A347F5" w:rsidRDefault="00A347F5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47F5">
        <w:rPr>
          <w:rFonts w:ascii="Arial" w:hAnsi="Arial" w:cs="Arial"/>
          <w:color w:val="000000" w:themeColor="text1"/>
          <w:sz w:val="20"/>
          <w:szCs w:val="20"/>
        </w:rPr>
        <w:t xml:space="preserve">Svojom organizacijom rada nastoji poticati gospodarski, poljoprivredni i demografski razvoj Općine, a u skladu s vizijom i ciljevima Općine </w:t>
      </w:r>
      <w:proofErr w:type="spellStart"/>
      <w:r w:rsidRPr="00A347F5">
        <w:rPr>
          <w:rFonts w:ascii="Arial" w:hAnsi="Arial" w:cs="Arial"/>
          <w:color w:val="000000" w:themeColor="text1"/>
          <w:sz w:val="20"/>
          <w:szCs w:val="20"/>
        </w:rPr>
        <w:t>Vođinci</w:t>
      </w:r>
      <w:proofErr w:type="spellEnd"/>
      <w:r w:rsidRPr="00A347F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522BF" w:rsidRDefault="004522BF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522BF" w:rsidRDefault="004522BF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VIZIJA </w:t>
      </w:r>
      <w:r w:rsidR="00C47E04">
        <w:rPr>
          <w:rFonts w:ascii="Arial" w:hAnsi="Arial" w:cs="Arial"/>
          <w:color w:val="000000" w:themeColor="text1"/>
          <w:sz w:val="20"/>
          <w:szCs w:val="20"/>
        </w:rPr>
        <w:t>OPĆINE VOĐINCI</w:t>
      </w:r>
    </w:p>
    <w:p w:rsidR="004522BF" w:rsidRDefault="004522BF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522BF" w:rsidRDefault="004522BF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Želimo biti učinkovita i transparentna uprava koja će pružanjem kvalitetnih i svima dostupnih javnih usluga uživati povjerenje zainteresiranih strana: </w:t>
      </w:r>
      <w:r w:rsidR="00C47E04">
        <w:rPr>
          <w:rFonts w:ascii="Arial" w:hAnsi="Arial" w:cs="Arial"/>
          <w:color w:val="000000" w:themeColor="text1"/>
          <w:sz w:val="20"/>
          <w:szCs w:val="20"/>
        </w:rPr>
        <w:t>mještana</w:t>
      </w:r>
      <w:r>
        <w:rPr>
          <w:rFonts w:ascii="Arial" w:hAnsi="Arial" w:cs="Arial"/>
          <w:color w:val="000000" w:themeColor="text1"/>
          <w:sz w:val="20"/>
          <w:szCs w:val="20"/>
        </w:rPr>
        <w:t>, subjekata u društvenim djelatnostima, gospodarskim subjektima, poslovnim partnerima, nevlad</w:t>
      </w:r>
      <w:r w:rsidR="00C47E04">
        <w:rPr>
          <w:rFonts w:ascii="Arial" w:hAnsi="Arial" w:cs="Arial"/>
          <w:color w:val="000000" w:themeColor="text1"/>
          <w:sz w:val="20"/>
          <w:szCs w:val="20"/>
        </w:rPr>
        <w:t xml:space="preserve">inim organizacijama 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posjetiteljima </w:t>
      </w:r>
      <w:r w:rsidR="00C47E04">
        <w:rPr>
          <w:rFonts w:ascii="Arial" w:hAnsi="Arial" w:cs="Arial"/>
          <w:color w:val="000000" w:themeColor="text1"/>
          <w:sz w:val="20"/>
          <w:szCs w:val="20"/>
        </w:rPr>
        <w:t>općine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522BF" w:rsidRDefault="004522BF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522BF" w:rsidRDefault="00A347F5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Vo</w:t>
      </w:r>
      <w:r w:rsidR="00C47E04">
        <w:rPr>
          <w:rFonts w:ascii="Arial" w:hAnsi="Arial" w:cs="Arial"/>
          <w:color w:val="000000" w:themeColor="text1"/>
          <w:sz w:val="20"/>
          <w:szCs w:val="20"/>
        </w:rPr>
        <w:t>đinci</w:t>
      </w:r>
      <w:proofErr w:type="spellEnd"/>
      <w:r w:rsidR="00C47E04">
        <w:rPr>
          <w:rFonts w:ascii="Arial" w:hAnsi="Arial" w:cs="Arial"/>
          <w:color w:val="000000" w:themeColor="text1"/>
          <w:sz w:val="20"/>
          <w:szCs w:val="20"/>
        </w:rPr>
        <w:t xml:space="preserve"> su </w:t>
      </w:r>
      <w:r w:rsidR="00A57EA4">
        <w:rPr>
          <w:rFonts w:ascii="Arial" w:hAnsi="Arial" w:cs="Arial"/>
          <w:color w:val="000000" w:themeColor="text1"/>
          <w:sz w:val="20"/>
          <w:szCs w:val="20"/>
        </w:rPr>
        <w:t>općina koja</w:t>
      </w:r>
      <w:r w:rsidR="00C47E04">
        <w:rPr>
          <w:rFonts w:ascii="Arial" w:hAnsi="Arial" w:cs="Arial"/>
          <w:color w:val="000000" w:themeColor="text1"/>
          <w:sz w:val="20"/>
          <w:szCs w:val="20"/>
        </w:rPr>
        <w:t xml:space="preserve"> ulaže u razvijanje </w:t>
      </w:r>
      <w:r w:rsidR="004522BF">
        <w:rPr>
          <w:rFonts w:ascii="Arial" w:hAnsi="Arial" w:cs="Arial"/>
          <w:color w:val="000000" w:themeColor="text1"/>
          <w:sz w:val="20"/>
          <w:szCs w:val="20"/>
        </w:rPr>
        <w:t xml:space="preserve"> komunaln</w:t>
      </w:r>
      <w:r w:rsidR="00C47E04">
        <w:rPr>
          <w:rFonts w:ascii="Arial" w:hAnsi="Arial" w:cs="Arial"/>
          <w:color w:val="000000" w:themeColor="text1"/>
          <w:sz w:val="20"/>
          <w:szCs w:val="20"/>
        </w:rPr>
        <w:t>e</w:t>
      </w:r>
      <w:r w:rsidR="004522BF">
        <w:rPr>
          <w:rFonts w:ascii="Arial" w:hAnsi="Arial" w:cs="Arial"/>
          <w:color w:val="000000" w:themeColor="text1"/>
          <w:sz w:val="20"/>
          <w:szCs w:val="20"/>
        </w:rPr>
        <w:t>, prometn</w:t>
      </w:r>
      <w:r w:rsidR="00C47E04">
        <w:rPr>
          <w:rFonts w:ascii="Arial" w:hAnsi="Arial" w:cs="Arial"/>
          <w:color w:val="000000" w:themeColor="text1"/>
          <w:sz w:val="20"/>
          <w:szCs w:val="20"/>
        </w:rPr>
        <w:t>e</w:t>
      </w:r>
      <w:r w:rsidR="004522BF">
        <w:rPr>
          <w:rFonts w:ascii="Arial" w:hAnsi="Arial" w:cs="Arial"/>
          <w:color w:val="000000" w:themeColor="text1"/>
          <w:sz w:val="20"/>
          <w:szCs w:val="20"/>
        </w:rPr>
        <w:t xml:space="preserve"> i energetsk</w:t>
      </w:r>
      <w:r w:rsidR="00C47E04">
        <w:rPr>
          <w:rFonts w:ascii="Arial" w:hAnsi="Arial" w:cs="Arial"/>
          <w:color w:val="000000" w:themeColor="text1"/>
          <w:sz w:val="20"/>
          <w:szCs w:val="20"/>
        </w:rPr>
        <w:t>e</w:t>
      </w:r>
      <w:r w:rsidR="004522BF">
        <w:rPr>
          <w:rFonts w:ascii="Arial" w:hAnsi="Arial" w:cs="Arial"/>
          <w:color w:val="000000" w:themeColor="text1"/>
          <w:sz w:val="20"/>
          <w:szCs w:val="20"/>
        </w:rPr>
        <w:t xml:space="preserve"> infrastruktur</w:t>
      </w:r>
      <w:r w:rsidR="00C47E04">
        <w:rPr>
          <w:rFonts w:ascii="Arial" w:hAnsi="Arial" w:cs="Arial"/>
          <w:color w:val="000000" w:themeColor="text1"/>
          <w:sz w:val="20"/>
          <w:szCs w:val="20"/>
        </w:rPr>
        <w:t>e</w:t>
      </w:r>
      <w:r w:rsidR="004522BF">
        <w:rPr>
          <w:rFonts w:ascii="Arial" w:hAnsi="Arial" w:cs="Arial"/>
          <w:color w:val="000000" w:themeColor="text1"/>
          <w:sz w:val="20"/>
          <w:szCs w:val="20"/>
        </w:rPr>
        <w:t xml:space="preserve">,te športsko-rekreacijske infrastrukture </w:t>
      </w:r>
      <w:r w:rsidR="00C47E04">
        <w:rPr>
          <w:rFonts w:ascii="Arial" w:hAnsi="Arial" w:cs="Arial"/>
          <w:color w:val="000000" w:themeColor="text1"/>
          <w:sz w:val="20"/>
          <w:szCs w:val="20"/>
        </w:rPr>
        <w:t xml:space="preserve"> koje selo čine ugodnijim </w:t>
      </w:r>
      <w:r w:rsidR="004522BF">
        <w:rPr>
          <w:rFonts w:ascii="Arial" w:hAnsi="Arial" w:cs="Arial"/>
          <w:color w:val="000000" w:themeColor="text1"/>
          <w:sz w:val="20"/>
          <w:szCs w:val="20"/>
        </w:rPr>
        <w:t>za ž</w:t>
      </w:r>
      <w:r w:rsidR="00C47E04">
        <w:rPr>
          <w:rFonts w:ascii="Arial" w:hAnsi="Arial" w:cs="Arial"/>
          <w:color w:val="000000" w:themeColor="text1"/>
          <w:sz w:val="20"/>
          <w:szCs w:val="20"/>
        </w:rPr>
        <w:t>ivljenje.</w:t>
      </w:r>
    </w:p>
    <w:p w:rsidR="004522BF" w:rsidRDefault="004522BF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522BF" w:rsidRDefault="00A347F5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Usmjereni smo </w:t>
      </w:r>
      <w:r w:rsidRPr="00A347F5">
        <w:rPr>
          <w:rFonts w:ascii="Arial" w:hAnsi="Arial" w:cs="Arial"/>
          <w:color w:val="000000" w:themeColor="text1"/>
          <w:sz w:val="20"/>
          <w:szCs w:val="20"/>
        </w:rPr>
        <w:t>na razvoj malih i srednjih poduzetnika, osobito na poljoprivredu i voćarstvo, na unaprjeđenje cjelokupne infrastrukture, na demografski razvoj te na očuvanje okoliša, a posebno se zalaže</w:t>
      </w:r>
      <w:r>
        <w:rPr>
          <w:rFonts w:ascii="Arial" w:hAnsi="Arial" w:cs="Arial"/>
          <w:color w:val="000000" w:themeColor="text1"/>
          <w:sz w:val="20"/>
          <w:szCs w:val="20"/>
        </w:rPr>
        <w:t>mo</w:t>
      </w:r>
      <w:r w:rsidRPr="00A347F5">
        <w:rPr>
          <w:rFonts w:ascii="Arial" w:hAnsi="Arial" w:cs="Arial"/>
          <w:color w:val="000000" w:themeColor="text1"/>
          <w:sz w:val="20"/>
          <w:szCs w:val="20"/>
        </w:rPr>
        <w:t xml:space="preserve"> za osiguranje dostojanstvenog života svih mještana.</w:t>
      </w:r>
    </w:p>
    <w:p w:rsidR="00224A15" w:rsidRDefault="00224A15" w:rsidP="005A3679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CB1586" w:rsidRDefault="00CB1586" w:rsidP="005A3679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CB1586" w:rsidRDefault="00CB1586" w:rsidP="005A3679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CA65B0" w:rsidRDefault="00CA65B0" w:rsidP="005A3679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365360" w:rsidRDefault="007E5C02" w:rsidP="007E5C02">
      <w:pPr>
        <w:jc w:val="both"/>
        <w:rPr>
          <w:rFonts w:ascii="Arial" w:hAnsi="Arial" w:cs="Arial"/>
          <w:sz w:val="20"/>
          <w:szCs w:val="20"/>
        </w:rPr>
      </w:pPr>
      <w:r w:rsidRPr="007E5C02">
        <w:rPr>
          <w:rFonts w:ascii="Arial" w:hAnsi="Arial" w:cs="Arial"/>
          <w:sz w:val="20"/>
          <w:szCs w:val="20"/>
        </w:rPr>
        <w:lastRenderedPageBreak/>
        <w:t xml:space="preserve">          Proračunom i projekcijom je planiran nastavak značajnih ulaganja Općine u kapitalne investicije</w:t>
      </w:r>
      <w:r w:rsidR="00365360">
        <w:rPr>
          <w:rFonts w:ascii="Arial" w:hAnsi="Arial" w:cs="Arial"/>
          <w:sz w:val="20"/>
          <w:szCs w:val="20"/>
        </w:rPr>
        <w:t>:</w:t>
      </w:r>
    </w:p>
    <w:p w:rsidR="00365360" w:rsidRDefault="00365360" w:rsidP="007E5C02">
      <w:pPr>
        <w:jc w:val="both"/>
        <w:rPr>
          <w:rFonts w:ascii="Arial" w:hAnsi="Arial" w:cs="Arial"/>
          <w:sz w:val="20"/>
          <w:szCs w:val="20"/>
        </w:rPr>
      </w:pPr>
    </w:p>
    <w:p w:rsidR="00365360" w:rsidRDefault="007E5C02" w:rsidP="007E5C02">
      <w:pPr>
        <w:jc w:val="both"/>
        <w:rPr>
          <w:rFonts w:ascii="Arial" w:hAnsi="Arial" w:cs="Arial"/>
          <w:sz w:val="20"/>
          <w:szCs w:val="20"/>
        </w:rPr>
      </w:pPr>
      <w:r w:rsidRPr="007E5C02">
        <w:rPr>
          <w:rFonts w:ascii="Arial" w:hAnsi="Arial" w:cs="Arial"/>
          <w:sz w:val="20"/>
          <w:szCs w:val="20"/>
        </w:rPr>
        <w:t xml:space="preserve"> </w:t>
      </w:r>
      <w:r w:rsidR="00365360" w:rsidRPr="00365360">
        <w:rPr>
          <w:rFonts w:ascii="Arial" w:hAnsi="Arial" w:cs="Arial"/>
          <w:b/>
          <w:sz w:val="20"/>
          <w:szCs w:val="20"/>
          <w:u w:val="single"/>
        </w:rPr>
        <w:t>P</w:t>
      </w:r>
      <w:r w:rsidRPr="00365360">
        <w:rPr>
          <w:rFonts w:ascii="Arial" w:hAnsi="Arial" w:cs="Arial"/>
          <w:b/>
          <w:sz w:val="20"/>
          <w:szCs w:val="20"/>
          <w:u w:val="single"/>
        </w:rPr>
        <w:t>rogram 2110 Investicije za potrebe općinske uprave</w:t>
      </w:r>
      <w:r w:rsidRPr="007E5C02">
        <w:rPr>
          <w:rFonts w:ascii="Arial" w:hAnsi="Arial" w:cs="Arial"/>
          <w:sz w:val="20"/>
          <w:szCs w:val="20"/>
        </w:rPr>
        <w:t>-oprema i digitalizacija poslovanja općinske up</w:t>
      </w:r>
      <w:r w:rsidR="00365360">
        <w:rPr>
          <w:rFonts w:ascii="Arial" w:hAnsi="Arial" w:cs="Arial"/>
          <w:sz w:val="20"/>
          <w:szCs w:val="20"/>
        </w:rPr>
        <w:t>rave u iznosu od 42.075,00 EUR</w:t>
      </w:r>
    </w:p>
    <w:p w:rsidR="00365360" w:rsidRDefault="00365360" w:rsidP="007E5C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</w:t>
      </w:r>
      <w:r w:rsidR="007E5C02" w:rsidRPr="00365360">
        <w:rPr>
          <w:rFonts w:ascii="Arial" w:hAnsi="Arial" w:cs="Arial"/>
          <w:b/>
          <w:sz w:val="20"/>
          <w:szCs w:val="20"/>
          <w:u w:val="single"/>
        </w:rPr>
        <w:t>rogram 2120 Investicije za potrebe komunalne  infrastrukture</w:t>
      </w:r>
      <w:r w:rsidR="007E5C02" w:rsidRPr="007E5C02">
        <w:rPr>
          <w:rFonts w:ascii="Arial" w:hAnsi="Arial" w:cs="Arial"/>
          <w:sz w:val="20"/>
          <w:szCs w:val="20"/>
        </w:rPr>
        <w:t xml:space="preserve"> – za ceste planiran je iznos od 139.359,  EUR, za pješačke staze 66.361,00 EUR</w:t>
      </w:r>
      <w:r w:rsidR="00A57EA4">
        <w:rPr>
          <w:rFonts w:ascii="Arial" w:hAnsi="Arial" w:cs="Arial"/>
          <w:sz w:val="20"/>
          <w:szCs w:val="20"/>
        </w:rPr>
        <w:t xml:space="preserve"> (izgradnja Đakovačke ceste)</w:t>
      </w:r>
      <w:r w:rsidR="007E5C02" w:rsidRPr="007E5C02">
        <w:rPr>
          <w:rFonts w:ascii="Arial" w:hAnsi="Arial" w:cs="Arial"/>
          <w:sz w:val="20"/>
          <w:szCs w:val="20"/>
        </w:rPr>
        <w:t>, za vodovod i kanalizaciju 26.545,00 EUR, za javnu rasvjetu 40.932,00 EUR, za obnovu mrtvačnice 5.309,00 EUR, za rekonstrukciju i izgradnju groblja –LAG planira je iznos od 29.200,00 EUR.</w:t>
      </w:r>
    </w:p>
    <w:p w:rsidR="007E5C02" w:rsidRPr="007E5C02" w:rsidRDefault="00365360" w:rsidP="007E5C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Program 2150- I</w:t>
      </w:r>
      <w:r w:rsidR="007E5C02" w:rsidRPr="00365360">
        <w:rPr>
          <w:rFonts w:ascii="Arial" w:hAnsi="Arial" w:cs="Arial"/>
          <w:b/>
          <w:sz w:val="20"/>
          <w:szCs w:val="20"/>
          <w:u w:val="single"/>
        </w:rPr>
        <w:t>nvesticije za potrebe društvenih djelatnosti</w:t>
      </w:r>
      <w:r w:rsidR="007E5C02" w:rsidRPr="007E5C02">
        <w:rPr>
          <w:rFonts w:ascii="Arial" w:hAnsi="Arial" w:cs="Arial"/>
          <w:sz w:val="20"/>
          <w:szCs w:val="20"/>
        </w:rPr>
        <w:t xml:space="preserve"> planiran je u iznosu od 510.984,00 EUR i to za DV „Mladost </w:t>
      </w:r>
      <w:proofErr w:type="spellStart"/>
      <w:r w:rsidR="007E5C02" w:rsidRPr="007E5C02">
        <w:rPr>
          <w:rFonts w:ascii="Arial" w:hAnsi="Arial" w:cs="Arial"/>
          <w:sz w:val="20"/>
          <w:szCs w:val="20"/>
        </w:rPr>
        <w:t>Vođinci</w:t>
      </w:r>
      <w:proofErr w:type="spellEnd"/>
      <w:r w:rsidR="007E5C02" w:rsidRPr="007E5C02">
        <w:rPr>
          <w:rFonts w:ascii="Arial" w:hAnsi="Arial" w:cs="Arial"/>
          <w:sz w:val="20"/>
          <w:szCs w:val="20"/>
        </w:rPr>
        <w:t>“ iznos od 399.495,00 EUR, za nogometno igralište 1.328,00 EUR, dječje igralište 3.982,00 EUR, obnova Lovačkog doma 6.636,00 EUR, za poučnu stazu s pratećim sadržajima iznos od 99.543,00 EUR, za zgr</w:t>
      </w:r>
      <w:r w:rsidR="003F0722">
        <w:rPr>
          <w:rFonts w:ascii="Arial" w:hAnsi="Arial" w:cs="Arial"/>
          <w:sz w:val="20"/>
          <w:szCs w:val="20"/>
        </w:rPr>
        <w:t>a</w:t>
      </w:r>
      <w:r w:rsidR="007E5C02" w:rsidRPr="007E5C02">
        <w:rPr>
          <w:rFonts w:ascii="Arial" w:hAnsi="Arial" w:cs="Arial"/>
          <w:sz w:val="20"/>
          <w:szCs w:val="20"/>
        </w:rPr>
        <w:t>du DVD-a i KUD-a iznos od 66.361,00 EUR, te sustav navodnjavanja 2.654,00 EUR.</w:t>
      </w:r>
    </w:p>
    <w:p w:rsidR="007E5C02" w:rsidRPr="007E5C02" w:rsidRDefault="007E5C02" w:rsidP="007E5C02">
      <w:pPr>
        <w:jc w:val="both"/>
        <w:rPr>
          <w:rFonts w:ascii="Arial" w:hAnsi="Arial" w:cs="Arial"/>
          <w:sz w:val="20"/>
          <w:szCs w:val="20"/>
        </w:rPr>
      </w:pPr>
    </w:p>
    <w:p w:rsidR="007E5C02" w:rsidRPr="007E5C02" w:rsidRDefault="007E5C02" w:rsidP="007E5C02">
      <w:pPr>
        <w:jc w:val="both"/>
        <w:rPr>
          <w:rFonts w:ascii="Arial" w:hAnsi="Arial" w:cs="Arial"/>
          <w:sz w:val="20"/>
          <w:szCs w:val="20"/>
        </w:rPr>
      </w:pPr>
    </w:p>
    <w:p w:rsidR="00365360" w:rsidRDefault="00365360" w:rsidP="007E5C02">
      <w:pPr>
        <w:jc w:val="both"/>
        <w:rPr>
          <w:rFonts w:ascii="Arial" w:hAnsi="Arial" w:cs="Arial"/>
          <w:sz w:val="20"/>
          <w:szCs w:val="20"/>
        </w:rPr>
      </w:pPr>
      <w:r w:rsidRPr="00365360">
        <w:rPr>
          <w:rFonts w:ascii="Arial" w:hAnsi="Arial" w:cs="Arial"/>
          <w:b/>
          <w:sz w:val="20"/>
          <w:szCs w:val="20"/>
          <w:u w:val="single"/>
        </w:rPr>
        <w:t>P</w:t>
      </w:r>
      <w:r w:rsidR="007E5C02" w:rsidRPr="00365360">
        <w:rPr>
          <w:rFonts w:ascii="Arial" w:hAnsi="Arial" w:cs="Arial"/>
          <w:b/>
          <w:sz w:val="20"/>
          <w:szCs w:val="20"/>
          <w:u w:val="single"/>
        </w:rPr>
        <w:t>rogram 1150 društvene djelatnosti</w:t>
      </w:r>
      <w:r>
        <w:rPr>
          <w:rFonts w:ascii="Arial" w:hAnsi="Arial" w:cs="Arial"/>
          <w:sz w:val="20"/>
          <w:szCs w:val="20"/>
        </w:rPr>
        <w:t xml:space="preserve"> - </w:t>
      </w:r>
      <w:r w:rsidR="007E5C02" w:rsidRPr="007E5C02">
        <w:rPr>
          <w:rFonts w:ascii="Arial" w:hAnsi="Arial" w:cs="Arial"/>
          <w:sz w:val="20"/>
          <w:szCs w:val="20"/>
        </w:rPr>
        <w:t>planirana su značajna sredstva za izdvajanja za osnovnoškolsko obrazov</w:t>
      </w:r>
      <w:r w:rsidR="00A57EA4">
        <w:rPr>
          <w:rFonts w:ascii="Arial" w:hAnsi="Arial" w:cs="Arial"/>
          <w:sz w:val="20"/>
          <w:szCs w:val="20"/>
        </w:rPr>
        <w:t>anju (nabava radnih materijala, sufinanciranje prehrane učenika</w:t>
      </w:r>
      <w:r w:rsidR="007E5C02" w:rsidRPr="007E5C02">
        <w:rPr>
          <w:rFonts w:ascii="Arial" w:hAnsi="Arial" w:cs="Arial"/>
          <w:sz w:val="20"/>
          <w:szCs w:val="20"/>
        </w:rPr>
        <w:t xml:space="preserve"> sl.), te je sufinanciran prijevoz učenicima srednjih škola, iznos od 38.490,00 EUR. Za socijalnu skrb planiran je iznos od 17.254,00 EUR u vidu podmirenja troškova stanovanja te troškova ogrjeva za socijalno ugrožene obitelji. Za</w:t>
      </w:r>
      <w:r w:rsidR="00A57EA4">
        <w:rPr>
          <w:rFonts w:ascii="Arial" w:hAnsi="Arial" w:cs="Arial"/>
          <w:sz w:val="20"/>
          <w:szCs w:val="20"/>
        </w:rPr>
        <w:t xml:space="preserve"> </w:t>
      </w:r>
      <w:r w:rsidR="007E5C02" w:rsidRPr="007E5C02">
        <w:rPr>
          <w:rFonts w:ascii="Arial" w:hAnsi="Arial" w:cs="Arial"/>
          <w:sz w:val="20"/>
          <w:szCs w:val="20"/>
        </w:rPr>
        <w:t xml:space="preserve">kulturu izdvojena su sredstva od 2.654,00 EUR </w:t>
      </w:r>
      <w:r w:rsidR="00A57EA4">
        <w:rPr>
          <w:rFonts w:ascii="Arial" w:hAnsi="Arial" w:cs="Arial"/>
          <w:sz w:val="20"/>
          <w:szCs w:val="20"/>
        </w:rPr>
        <w:t>(</w:t>
      </w:r>
      <w:r w:rsidR="007E5C02" w:rsidRPr="007E5C02">
        <w:rPr>
          <w:rFonts w:ascii="Arial" w:hAnsi="Arial" w:cs="Arial"/>
          <w:sz w:val="20"/>
          <w:szCs w:val="20"/>
        </w:rPr>
        <w:t xml:space="preserve"> tekuće donacije za rad KUD-a</w:t>
      </w:r>
      <w:r w:rsidR="00A57EA4">
        <w:rPr>
          <w:rFonts w:ascii="Arial" w:hAnsi="Arial" w:cs="Arial"/>
          <w:sz w:val="20"/>
          <w:szCs w:val="20"/>
        </w:rPr>
        <w:t>)</w:t>
      </w:r>
      <w:r w:rsidR="007E5C02" w:rsidRPr="007E5C02">
        <w:rPr>
          <w:rFonts w:ascii="Arial" w:hAnsi="Arial" w:cs="Arial"/>
          <w:sz w:val="20"/>
          <w:szCs w:val="20"/>
        </w:rPr>
        <w:t xml:space="preserve">. Za religiju je izdvojeno 2.656,00 EUR- donacije vjerskim zajednicama. Šport i rekreacija planirani su u iznosu od 39.154,00 EUR kao tekuće donacije športskim društvima i lovačkom društvu, kao i materijal za tekuće održavanje športskih objekata. Za ostale društvene djelatnosti planirano je 5.840,00 EUR za tekuće donacije udrugama i političkim strankama. Za demografski razvitak općine izdvojena su sredstva u iznosu od 33.180,00 EUR koja podmiruju donacije za poticanje demografskog razvoja Općine kao što su naknade za novorođenčad. Program „Zaželi“ – pomoć u kući starijim osobama nosi iznos od 98.429,00 EUR. </w:t>
      </w:r>
    </w:p>
    <w:p w:rsidR="00365360" w:rsidRDefault="00365360" w:rsidP="007E5C02">
      <w:pPr>
        <w:jc w:val="both"/>
        <w:rPr>
          <w:rFonts w:ascii="Arial" w:hAnsi="Arial" w:cs="Arial"/>
          <w:sz w:val="20"/>
          <w:szCs w:val="20"/>
        </w:rPr>
      </w:pPr>
    </w:p>
    <w:p w:rsidR="00365360" w:rsidRDefault="007E5C02" w:rsidP="007E5C02">
      <w:pPr>
        <w:jc w:val="both"/>
        <w:rPr>
          <w:rFonts w:ascii="Arial" w:hAnsi="Arial" w:cs="Arial"/>
          <w:sz w:val="20"/>
          <w:szCs w:val="20"/>
        </w:rPr>
      </w:pPr>
      <w:r w:rsidRPr="00365360">
        <w:rPr>
          <w:rFonts w:ascii="Arial" w:hAnsi="Arial" w:cs="Arial"/>
          <w:b/>
          <w:sz w:val="20"/>
          <w:szCs w:val="20"/>
          <w:u w:val="single"/>
        </w:rPr>
        <w:t>Program 1140- zaštita od požara i civilna zaštita</w:t>
      </w:r>
      <w:r w:rsidRPr="007E5C02">
        <w:rPr>
          <w:rFonts w:ascii="Arial" w:hAnsi="Arial" w:cs="Arial"/>
          <w:sz w:val="20"/>
          <w:szCs w:val="20"/>
        </w:rPr>
        <w:t xml:space="preserve"> planiran je u iznosu od 27.873,00 EUR i to za zaštitu od požara 26.545,00 EUR, a za civilnu zaštitu 1.328,00 EUR.</w:t>
      </w:r>
      <w:r w:rsidR="00365360">
        <w:rPr>
          <w:rFonts w:ascii="Arial" w:hAnsi="Arial" w:cs="Arial"/>
          <w:sz w:val="20"/>
          <w:szCs w:val="20"/>
        </w:rPr>
        <w:t xml:space="preserve"> </w:t>
      </w:r>
    </w:p>
    <w:p w:rsidR="00365360" w:rsidRDefault="00365360" w:rsidP="007E5C02">
      <w:pPr>
        <w:jc w:val="both"/>
        <w:rPr>
          <w:rFonts w:ascii="Arial" w:hAnsi="Arial" w:cs="Arial"/>
          <w:sz w:val="20"/>
          <w:szCs w:val="20"/>
        </w:rPr>
      </w:pPr>
    </w:p>
    <w:p w:rsidR="00365360" w:rsidRDefault="00365360" w:rsidP="007E5C02">
      <w:pPr>
        <w:jc w:val="both"/>
        <w:rPr>
          <w:rFonts w:ascii="Arial" w:hAnsi="Arial" w:cs="Arial"/>
          <w:sz w:val="20"/>
          <w:szCs w:val="20"/>
        </w:rPr>
      </w:pPr>
      <w:r w:rsidRPr="00365360">
        <w:rPr>
          <w:rFonts w:ascii="Arial" w:hAnsi="Arial" w:cs="Arial"/>
          <w:b/>
          <w:sz w:val="20"/>
          <w:szCs w:val="20"/>
          <w:u w:val="single"/>
        </w:rPr>
        <w:t>P</w:t>
      </w:r>
      <w:r w:rsidR="007E5C02" w:rsidRPr="00365360">
        <w:rPr>
          <w:rFonts w:ascii="Arial" w:hAnsi="Arial" w:cs="Arial"/>
          <w:b/>
          <w:sz w:val="20"/>
          <w:szCs w:val="20"/>
          <w:u w:val="single"/>
        </w:rPr>
        <w:t>rogram 1130-  gospodarstvo</w:t>
      </w:r>
      <w:r w:rsidR="007E5C02" w:rsidRPr="007E5C02">
        <w:rPr>
          <w:rFonts w:ascii="Arial" w:hAnsi="Arial" w:cs="Arial"/>
          <w:sz w:val="20"/>
          <w:szCs w:val="20"/>
        </w:rPr>
        <w:t xml:space="preserve"> izdvojena</w:t>
      </w:r>
      <w:r>
        <w:rPr>
          <w:rFonts w:ascii="Arial" w:hAnsi="Arial" w:cs="Arial"/>
          <w:sz w:val="20"/>
          <w:szCs w:val="20"/>
        </w:rPr>
        <w:t xml:space="preserve"> </w:t>
      </w:r>
      <w:r w:rsidR="007E5C02" w:rsidRPr="007E5C02">
        <w:rPr>
          <w:rFonts w:ascii="Arial" w:hAnsi="Arial" w:cs="Arial"/>
          <w:sz w:val="20"/>
          <w:szCs w:val="20"/>
        </w:rPr>
        <w:t>su sredstva u iznosu od 7.963,</w:t>
      </w:r>
      <w:r w:rsidR="003F0722">
        <w:rPr>
          <w:rFonts w:ascii="Arial" w:hAnsi="Arial" w:cs="Arial"/>
          <w:sz w:val="20"/>
          <w:szCs w:val="20"/>
        </w:rPr>
        <w:t>00 EUR za sanaciju poljskih puto</w:t>
      </w:r>
      <w:r w:rsidR="007E5C02" w:rsidRPr="007E5C02">
        <w:rPr>
          <w:rFonts w:ascii="Arial" w:hAnsi="Arial" w:cs="Arial"/>
          <w:sz w:val="20"/>
          <w:szCs w:val="20"/>
        </w:rPr>
        <w:t xml:space="preserve">va i sufinanciranje razvoja poljoprivrede. </w:t>
      </w:r>
    </w:p>
    <w:p w:rsidR="007E5C02" w:rsidRPr="007E5C02" w:rsidRDefault="007E5C02" w:rsidP="007E5C02">
      <w:pPr>
        <w:jc w:val="both"/>
        <w:rPr>
          <w:rFonts w:ascii="Arial" w:hAnsi="Arial" w:cs="Arial"/>
          <w:sz w:val="20"/>
          <w:szCs w:val="20"/>
        </w:rPr>
      </w:pPr>
      <w:r w:rsidRPr="007E5C02">
        <w:rPr>
          <w:rFonts w:ascii="Arial" w:hAnsi="Arial" w:cs="Arial"/>
          <w:sz w:val="20"/>
          <w:szCs w:val="20"/>
        </w:rPr>
        <w:t xml:space="preserve">Općina vodi računa o zaštiti okoliša i održavanju javnih površina za što je u </w:t>
      </w:r>
      <w:r w:rsidR="00365360">
        <w:rPr>
          <w:rFonts w:ascii="Arial" w:hAnsi="Arial" w:cs="Arial"/>
          <w:b/>
          <w:sz w:val="20"/>
          <w:szCs w:val="20"/>
          <w:u w:val="single"/>
        </w:rPr>
        <w:t>P</w:t>
      </w:r>
      <w:r w:rsidRPr="00365360">
        <w:rPr>
          <w:rFonts w:ascii="Arial" w:hAnsi="Arial" w:cs="Arial"/>
          <w:b/>
          <w:sz w:val="20"/>
          <w:szCs w:val="20"/>
          <w:u w:val="single"/>
        </w:rPr>
        <w:t>rogramu 1120- komunalna djelatnost</w:t>
      </w:r>
      <w:r w:rsidRPr="007E5C02">
        <w:rPr>
          <w:rFonts w:ascii="Arial" w:hAnsi="Arial" w:cs="Arial"/>
          <w:sz w:val="20"/>
          <w:szCs w:val="20"/>
        </w:rPr>
        <w:t xml:space="preserve"> izdvojeno 139.095,00 EUR i to za održavanje objekata komunalne infrastrukture 21.237,00 EUR u što spada električna energija za javnu rasvjetu, cestovni prometni znakovi, usluge tekućeg i investicijskog održavanja javne rasvjete i nerazvrstanih cesta. Za održavanje javnih površina planirano je 39.551,00 EUR u što spadaju javni radovi, usluge čišćenja kanalske mreže i održavanja javnih površina te traktora i kosilice.za zaštitu okoliša Općina planira 70.344,00 EUR za sanaciju nelegalnih odlagališta otpada i ostali komunalni poslovi u iznosu od 7.963,00 EUR za deratizaciju i dezinsekciju te veterinarsko-higijeničarske usluge.</w:t>
      </w:r>
    </w:p>
    <w:p w:rsidR="007E5C02" w:rsidRDefault="007E5C02" w:rsidP="007E5C02">
      <w:pPr>
        <w:jc w:val="both"/>
        <w:rPr>
          <w:rFonts w:ascii="Arial" w:hAnsi="Arial" w:cs="Arial"/>
          <w:sz w:val="20"/>
          <w:szCs w:val="20"/>
        </w:rPr>
      </w:pPr>
    </w:p>
    <w:p w:rsidR="00A347F5" w:rsidRDefault="00A347F5" w:rsidP="007E5C02">
      <w:pPr>
        <w:jc w:val="both"/>
        <w:rPr>
          <w:rFonts w:ascii="Arial" w:hAnsi="Arial" w:cs="Arial"/>
          <w:sz w:val="20"/>
          <w:szCs w:val="20"/>
        </w:rPr>
      </w:pPr>
    </w:p>
    <w:p w:rsidR="00A347F5" w:rsidRPr="00A347F5" w:rsidRDefault="00A347F5" w:rsidP="00A347F5">
      <w:pPr>
        <w:jc w:val="both"/>
        <w:rPr>
          <w:rFonts w:ascii="Arial" w:hAnsi="Arial" w:cs="Arial"/>
          <w:sz w:val="20"/>
          <w:szCs w:val="20"/>
        </w:rPr>
      </w:pPr>
      <w:r w:rsidRPr="00A347F5">
        <w:rPr>
          <w:rFonts w:ascii="Arial" w:hAnsi="Arial" w:cs="Arial"/>
          <w:sz w:val="20"/>
          <w:szCs w:val="20"/>
        </w:rPr>
        <w:t>Pravilnikom o utvrđivanju proračunskih i izvanproračunskih korisnika državnog proračuna i proračunskih i izvanproračunskih korisnika proračuna jedinica lokalne i područne (regionalne) samouprave te o načinu vođenja Registra proračunskih i izvanproračunskih korisnika utvrđuju se proračunski i izvanproračunski korisnici državnog proračuna i proračunski i izvanproračunski korisnici proračuna jedinica lokalne i područne (regionalne) samouprave te način vođenja Registra proračunskih i</w:t>
      </w:r>
      <w:r>
        <w:rPr>
          <w:rFonts w:ascii="Arial" w:hAnsi="Arial" w:cs="Arial"/>
          <w:sz w:val="20"/>
          <w:szCs w:val="20"/>
        </w:rPr>
        <w:t xml:space="preserve"> </w:t>
      </w:r>
      <w:r w:rsidRPr="00A347F5">
        <w:rPr>
          <w:rFonts w:ascii="Arial" w:hAnsi="Arial" w:cs="Arial"/>
          <w:sz w:val="20"/>
          <w:szCs w:val="20"/>
        </w:rPr>
        <w:t>izvanproračunskih korisnika.</w:t>
      </w:r>
    </w:p>
    <w:p w:rsidR="00A347F5" w:rsidRPr="00A347F5" w:rsidRDefault="00A347F5" w:rsidP="00A347F5">
      <w:pPr>
        <w:jc w:val="both"/>
        <w:rPr>
          <w:rFonts w:ascii="Arial" w:hAnsi="Arial" w:cs="Arial"/>
          <w:sz w:val="20"/>
          <w:szCs w:val="20"/>
        </w:rPr>
      </w:pPr>
    </w:p>
    <w:p w:rsidR="00A347F5" w:rsidRDefault="00A347F5" w:rsidP="00A347F5">
      <w:pPr>
        <w:jc w:val="both"/>
        <w:rPr>
          <w:rFonts w:ascii="Arial" w:hAnsi="Arial" w:cs="Arial"/>
          <w:sz w:val="20"/>
          <w:szCs w:val="20"/>
        </w:rPr>
      </w:pPr>
      <w:r w:rsidRPr="00A347F5">
        <w:rPr>
          <w:rFonts w:ascii="Arial" w:hAnsi="Arial" w:cs="Arial"/>
          <w:sz w:val="20"/>
          <w:szCs w:val="20"/>
        </w:rPr>
        <w:t>Proračunski korisnici državnog proračuna i proračunski korisnici proračuna jedinica lokalne i područne (regionalne) samouprave jesu državna tijela, ustanove, vijeća manjinske samouprave, proračunski fondovi i mjesna samouprava čiji se rashodi za zaposlene i/ili materijalni rashodi osiguravaju u proračunu.</w:t>
      </w:r>
    </w:p>
    <w:p w:rsidR="00A347F5" w:rsidRPr="007E5C02" w:rsidRDefault="00A347F5" w:rsidP="007E5C02">
      <w:pPr>
        <w:jc w:val="both"/>
        <w:rPr>
          <w:rFonts w:ascii="Arial" w:hAnsi="Arial" w:cs="Arial"/>
          <w:sz w:val="20"/>
          <w:szCs w:val="20"/>
        </w:rPr>
      </w:pPr>
    </w:p>
    <w:p w:rsidR="00CB1586" w:rsidRPr="007E5C02" w:rsidRDefault="007E5C02" w:rsidP="007E5C02">
      <w:pPr>
        <w:jc w:val="both"/>
        <w:rPr>
          <w:rFonts w:ascii="Arial" w:hAnsi="Arial" w:cs="Arial"/>
          <w:sz w:val="20"/>
          <w:szCs w:val="20"/>
        </w:rPr>
      </w:pPr>
      <w:r w:rsidRPr="007E5C02">
        <w:rPr>
          <w:rFonts w:ascii="Arial" w:hAnsi="Arial" w:cs="Arial"/>
          <w:sz w:val="20"/>
          <w:szCs w:val="20"/>
        </w:rPr>
        <w:t xml:space="preserve">         U proračunu Općine  u cijelosti su uključeni financijski planovi proračunskog korisnika Dječji vrtić „Mladost“ </w:t>
      </w:r>
      <w:proofErr w:type="spellStart"/>
      <w:r w:rsidRPr="007E5C02">
        <w:rPr>
          <w:rFonts w:ascii="Arial" w:hAnsi="Arial" w:cs="Arial"/>
          <w:sz w:val="20"/>
          <w:szCs w:val="20"/>
        </w:rPr>
        <w:t>Vođinci</w:t>
      </w:r>
      <w:proofErr w:type="spellEnd"/>
      <w:r w:rsidRPr="007E5C02">
        <w:rPr>
          <w:rFonts w:ascii="Arial" w:hAnsi="Arial" w:cs="Arial"/>
          <w:sz w:val="20"/>
          <w:szCs w:val="20"/>
        </w:rPr>
        <w:t xml:space="preserve"> pod </w:t>
      </w:r>
      <w:r w:rsidR="00365360" w:rsidRPr="00365360">
        <w:rPr>
          <w:rFonts w:ascii="Arial" w:hAnsi="Arial" w:cs="Arial"/>
          <w:b/>
          <w:sz w:val="20"/>
          <w:szCs w:val="20"/>
          <w:u w:val="single"/>
        </w:rPr>
        <w:t>P</w:t>
      </w:r>
      <w:r w:rsidRPr="00365360">
        <w:rPr>
          <w:rFonts w:ascii="Arial" w:hAnsi="Arial" w:cs="Arial"/>
          <w:b/>
          <w:sz w:val="20"/>
          <w:szCs w:val="20"/>
          <w:u w:val="single"/>
        </w:rPr>
        <w:t>rogramom 1151- redovna djelatnost predškolske ustanove</w:t>
      </w:r>
      <w:r w:rsidRPr="007E5C02">
        <w:rPr>
          <w:rFonts w:ascii="Arial" w:hAnsi="Arial" w:cs="Arial"/>
          <w:sz w:val="20"/>
          <w:szCs w:val="20"/>
        </w:rPr>
        <w:t>. U Proračunu su prikazani i vlastiti prihodi proračunskih korisnika te rashodi proračunskih korisnika koji se financiraju iz tih prihoda. Planirana sredstva su u iznosu od 160.502,00 EUR.</w:t>
      </w:r>
    </w:p>
    <w:p w:rsidR="006B0D15" w:rsidRPr="007E5C02" w:rsidRDefault="006B0D15" w:rsidP="007E5C02">
      <w:pPr>
        <w:jc w:val="both"/>
        <w:rPr>
          <w:rFonts w:ascii="Arial" w:hAnsi="Arial" w:cs="Arial"/>
          <w:sz w:val="20"/>
          <w:szCs w:val="20"/>
        </w:rPr>
      </w:pPr>
    </w:p>
    <w:p w:rsidR="00C14ADA" w:rsidRDefault="00C14ADA" w:rsidP="007E5C02">
      <w:pPr>
        <w:jc w:val="both"/>
        <w:rPr>
          <w:rFonts w:ascii="Arial" w:hAnsi="Arial" w:cs="Arial"/>
          <w:sz w:val="20"/>
          <w:szCs w:val="20"/>
        </w:rPr>
        <w:sectPr w:rsidR="00C14ADA" w:rsidSect="007E5C0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633" w:type="dxa"/>
        <w:tblLook w:val="04A0" w:firstRow="1" w:lastRow="0" w:firstColumn="1" w:lastColumn="0" w:noHBand="0" w:noVBand="1"/>
      </w:tblPr>
      <w:tblGrid>
        <w:gridCol w:w="1353"/>
        <w:gridCol w:w="6020"/>
        <w:gridCol w:w="1420"/>
        <w:gridCol w:w="1420"/>
        <w:gridCol w:w="1495"/>
        <w:gridCol w:w="1495"/>
        <w:gridCol w:w="972"/>
        <w:gridCol w:w="972"/>
        <w:gridCol w:w="972"/>
      </w:tblGrid>
      <w:tr w:rsidR="00C14ADA" w:rsidRPr="00CC056A" w:rsidTr="00DC416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C14ADA" w:rsidRPr="00CC056A" w:rsidTr="00DC416F">
        <w:trPr>
          <w:trHeight w:val="36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CC056A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PROJEKCIJA PLANA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C14ADA" w:rsidRPr="00CC056A" w:rsidTr="00DC416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POSEBNI DIO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C14ADA" w:rsidRPr="00CC056A" w:rsidTr="00DC416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C14ADA" w:rsidRPr="00CC056A" w:rsidTr="00DC416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C14ADA" w:rsidRPr="00CC056A" w:rsidTr="00DC416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C14ADA" w:rsidRPr="00CC056A" w:rsidTr="00DC416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(2/1)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(3/2)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(4/3)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2.124.707,65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1.999.519,00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1.921.898,00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1.921.898,00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1100 PRIPREMA I DONOŠENJE AKATA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</w:t>
            </w:r>
            <w:proofErr w:type="spellStart"/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A100100 Predstavnička i izvršna tijela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</w:t>
            </w:r>
            <w:proofErr w:type="spellStart"/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99,</w:t>
            </w:r>
            <w:proofErr w:type="spellStart"/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99,</w:t>
            </w:r>
            <w:proofErr w:type="spellStart"/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1.0.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</w:t>
            </w:r>
            <w:proofErr w:type="spellStart"/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</w:t>
            </w:r>
            <w:proofErr w:type="spellStart"/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</w:t>
            </w:r>
            <w:proofErr w:type="spellStart"/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1110 UPRAVLJANJE JAVNIM FINANCIJAMA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594.213,31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495.720,00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504.428,00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504.428,00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A100100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86.004,38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100.605,00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103.509,00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103.509,00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86.004,38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100.605,00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103.509,00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103.509,00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116,98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102,89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86.004,38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100.605,00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103.509,00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103.509,00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116,98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102,89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1.0.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86.004,38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100.605,00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103.509,00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103.509,00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86.004,38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100.605,00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103.509,00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103.509,00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86.004,38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100.605,00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103.509,00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103.509,00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A100110 Materijalni i financijski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508.208,93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395.115,00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400.919,00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400.919,00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77,75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508.208,93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395.115,00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400.919,00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400.919,00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77,75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101,47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508.208,93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395.115,00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400.919,00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400.919,00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77,75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101,47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1.0.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70.621,83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78.304,00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84.108,00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84.108,00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110,88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70.621,83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78.304,00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84.108,00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84.108,00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110,88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69.254,78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76.937,00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82.741,00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82.741,00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1.367,05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1.367,00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1.367,00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1.367,00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4.0.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5.0. Pomoći - kapitalne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172.539,65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172.540,00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172.540,00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172.540,00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172.539,65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172.540,00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172.540,00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172.540,00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 Izdaci za otplatu glavnice primljenih kredita i zajmova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172.539,65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172.540,00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172.540,00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172.540,00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5.2. Pomoći - kompenzacijske mjere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129.670,18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140.289,00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140.289,00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140.289,00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36.764,21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47.383,00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47.383,00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47.383,00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128,88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22.164,71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32.783,00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32.783,00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32.783,00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147,91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14.599,50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92.905,97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92.906,00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92.906,00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92.906,00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 Izdaci za otplatu glavnice primljenih kredita i zajmova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92.905,97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92.906,00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92.906,00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92.906,00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8.0. Namjenski primici od nefinancijske imovine i zaduživanja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 Izdaci za otplatu glavnice primljenih kredita i zajmova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1120 KOMUNALNA DJELATNOST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213.816,43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139.095,00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139.095,00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139.095,00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A100100 Održavanje objekata komunalne infrastrukture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21.899,25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21.237,00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21.237,00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21.237,00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21.899,25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21.237,00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21.237,00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21.237,00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21.899,25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21.237,00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21.237,00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21.237,00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4.0.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17.917,57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17.917,57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17.917,57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5.2. Pomoći - kompenzacijske mjere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A100110 Održavanje javnih površina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47.249,32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39.551,00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39.551,00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39.551,00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47.249,32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39.551,00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39.551,00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39.551,00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83,71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47.249,32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39.551,00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39.551,00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39.551,00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83,71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4.0.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15.395,84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15.395,00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15.395,00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15.395,00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</w:t>
            </w:r>
            <w:proofErr w:type="spellStart"/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15.395,84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15.395,00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15.395,00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15.395,00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</w:t>
            </w:r>
            <w:proofErr w:type="spellStart"/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15.395,84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15.395,00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15.395,00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15.395,00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</w:t>
            </w:r>
            <w:proofErr w:type="spellStart"/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5.0. Pomoći - kapitalne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5.2. Pomoći - kompenzacijske mjere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5.3. Pomoći - tekuće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18.581,20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10.884,00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10.884,00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10.884,00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</w:t>
            </w:r>
            <w:proofErr w:type="spellStart"/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18.581,20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10.884,00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10.884,00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10.884,00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</w:t>
            </w:r>
            <w:proofErr w:type="spellStart"/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18.581,20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10.884,00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10.884,00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10.884,00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</w:t>
            </w:r>
            <w:proofErr w:type="spellStart"/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A100120 Zaštita okoliša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136.704,49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70.344,00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70.344,00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70.344,00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51,46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136.704,49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70.344,00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70.344,00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70.344,00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51,46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136.704,49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70.344,00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70.344,00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70.344,00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51,46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1.0.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5.0. Pomoći - kapitalne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A100130 Ostali komunalni poslovi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4.0.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1130 GOSPODARSTVO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T100110 Ulaganja u razvoj poljoprivrede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4.0.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 Subvencije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1140 ZAŠTITA OD POŽARA I CIVILNA ZAŠTITA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27.871,78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27.873,00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28.585,00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28.585,00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A100100 Zaštita od požara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1.0.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A100110 Civilna zaštita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2.040,00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153,61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1.327,22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2.040,00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153,61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1.327,22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2.040,00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153,61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1.0.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2.040,00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153,61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2.040,00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153,61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153,61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153,61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1150 DRUŠTVENE DJELATNOSTI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234.786,62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237.657,00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237.657,00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237.657,00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A100100 Obrazovanje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31.853,48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38.490,00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38.490,00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38.490,00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120,83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31.853,48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38.490,00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38.490,00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38.490,00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120,83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31.853,48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38.490,00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38.490,00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38.490,00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120,83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1.0.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9.954,00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9.954,00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9.954,00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9.954,00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9.954,00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9.954,00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5.0. Pomoći - kapitalne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Pomoći - tekuće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22.562,88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28.536,00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126,47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22.562,88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28.536,00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126,47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19.245,00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19.245,00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19.245,00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120,83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A100110 Socijalna skrb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17.253,96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17.253,96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17.253,96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1.0.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17.253,96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17.253,96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A100120 Kultura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1.0.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A100130 Religija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66,71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66,71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1.0.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A100140 Šport i rekreacija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39.153,22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39.154,00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39.154,00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39.154,00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39.153,22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39.154,00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39.154,00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39.154,00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39.153,22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39.154,00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39.154,00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39.154,00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1.0.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12.608,66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12.609,00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12.609,00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12.609,00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12.608,66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12.609,00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12.609,00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12.609,00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8.626,98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8.627,00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8.627,00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8.627,00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5.2. Pomoći - kompenzacijske mjere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A100150 Ostale društvene djelatnosti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5.839,80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5.840,00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5.839,80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5.840,00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5.840,00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5.840,00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5.839,80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5.840,00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5.840,00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5.840,00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1.0.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5.839,80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5.840,00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5.839,80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5.840,00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5.839,80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5.840,00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T100100 Demografski razvitak Općine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1.0.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Pomoći - tekuće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37 Naknade građanima i kućanstvima na temelju osiguranja i druge naknade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T100200 Program "Zaželi" - pomoć u kući starijim osobama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100.869,32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98.429,00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98.429,00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98.429,00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100.869,32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98.429,00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98.429,00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98.429,00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97,58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100.869,32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98.429,00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98.429,00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98.429,00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97,58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1.0.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5.0. Pomoći - kapitalne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Pomoći - tekuće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100.869,32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98.429,00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98.429,00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98.429,00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100.869,32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98.429,00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98.429,00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98.429,00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94.100,47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91.042,00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91.042,00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91.042,00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6.768,85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7.387,00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7.387,00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7.387,00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1151 REDOVNA DJELATNOST PREDŠKOLSKE USTANOVE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151.902,60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160.502,00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160.502,00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160.502,00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A100100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119.583,25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119.583,00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119.583,00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119.583,00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119.583,25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119.583,00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119.583,00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119.583,00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10020 PREDŠKOLSKO OBRAZOVANJE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119.583,25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119.583,00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119.583,00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119.583,00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66FF" w:fill="3366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46190 DJEČJI VRTIĆ "MLADOST VOĐINCI"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3366FF" w:fill="3366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119.583,25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3366FF" w:fill="3366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119.583,00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3366FF" w:fill="3366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119.583,00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3366FF" w:fill="3366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119.583,00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3366FF" w:fill="3366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3366FF" w:fill="3366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3366FF" w:fill="3366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3.1. Vlastiti </w:t>
            </w:r>
            <w:proofErr w:type="spellStart"/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prihiodi</w:t>
            </w:r>
            <w:proofErr w:type="spellEnd"/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- PK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8.096,09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8.096,00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8.096,00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8.096,00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8.096,09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8.096,00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8.096,00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8.096,00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8.096,09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8.096,00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8.096,00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8.096,00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5.2. Pomoći - kompenzacijske mjere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111.487,16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111.487,00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111.487,00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111.487,00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111.487,16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111.487,00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111.487,00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111.487,00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111.487,16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111.487,00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111.487,00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111.487,00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A100200 Materijalni i financijski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32.319,35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40.919,00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40.919,00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40.919,00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126,61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32.319,35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40.919,00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40.919,00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40.919,00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126,61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10020 PREDŠKOLSKO OBRAZOVANJE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32.319,35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40.919,00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40.919,00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40.919,00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126,61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66FF" w:fill="3366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46190 DJEČJI VRTIĆ "MLADOST VOĐINCI"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3366FF" w:fill="3366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32.319,35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3366FF" w:fill="3366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40.919,00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3366FF" w:fill="3366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40.919,00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3366FF" w:fill="3366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40.919,00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3366FF" w:fill="3366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126,61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3366FF" w:fill="3366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3366FF" w:fill="3366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3.1. Vlastiti </w:t>
            </w:r>
            <w:proofErr w:type="spellStart"/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prihiodi</w:t>
            </w:r>
            <w:proofErr w:type="spellEnd"/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- PK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31.788,46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40.388,00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40.388,00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40.388,00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127,05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31.788,46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40.388,00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40.388,00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40.388,00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127,05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31.523,01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40.123,00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40.123,00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40.123,00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127,28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99,83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5.1. Pomoći - PK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2110 INVESTICIJE ZA POTREBE OPĆINSKE UPRAVE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42.075,00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30.474,00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30.474,00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396,27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K100100 Oprema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10.618,00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10.618,00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7.0.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K100101 Digitalizacija poslovanja općinske uprave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31.457,00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25.165,00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25.165,00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31.457,00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25.165,00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25.165,00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31.457,00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25.165,00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25.165,00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5.0. Pomoći - kapitalne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25.165,00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25.165,00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25.165,00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25.165,00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25.165,00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25.165,00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25.165,00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25.165,00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25.165,00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7.0.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6.292,00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6.292,00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6.292,00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2120 INVESTICIJE ZA POTREBE KOMUNALNE INFRASTRUKTURE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184.484,69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307.706,00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235.102,00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235.102,00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166,79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76,40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K100100 Ceste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72.997,54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139.359,00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75.449,00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75.449,00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190,91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54,14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72.997,54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139.359,00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75.449,00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75.449,00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190,91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54,14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72.997,54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139.359,00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75.449,00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75.449,00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190,91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54,14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1.0.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5.2. Pomoći - kompenzacijske mjere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7.0.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86.270,00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22.360,00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22.360,00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433,33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86.270,00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22.360,00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22.360,00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433,33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86.270,00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22.360,00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22.360,00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433,33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K100110 Pješačke staze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5.0. Pomoći - kapitalne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59.725,26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59.725,00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59.725,00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59.725,00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59.725,26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59.725,00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59.725,00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59.725,00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59.725,26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59.725,00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59.725,00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59.725,00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5.2. Pomoći - kompenzacijske mjere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K100120 Vodovod i kanalizacija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1.0.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4.0.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22.164,71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22.165,00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22.164,71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22.165,00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22.164,71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22.165,00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5.2. Pomoći - kompenzacijske mjere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4.379,85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4.380,00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4.379,85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4.380,00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4.379,85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4.380,00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K100140 Javna rasvjeta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40.932,00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32.238,00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32.238,00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308,40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78,76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40.932,00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32.238,00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32.238,00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308,40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78,76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40.932,00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32.238,00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32.238,00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308,40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78,76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5.0. Pomoći - kapitalne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7.0.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27.659,00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18.965,00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208,40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68,57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27.659,00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18.965,00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208,40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68,57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27.659,00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18.965,00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18.965,00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208,40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68,57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K100150 Mrtvačnica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1.0.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5.2. Pomoći - kompenzacijske mjere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K100160 Rekonstrukcija i izgradnja groblja - LAG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5.0. Pomoći - kapitalne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2150 INVESTICIJE ZA POTREBE DRUŠTVENIH DJELATNOSTI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629.106,11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510.984,00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508.148,00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508.148,00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K100200 Dječji vrtić "Mladost </w:t>
            </w:r>
            <w:proofErr w:type="spellStart"/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Vođinci</w:t>
            </w:r>
            <w:proofErr w:type="spellEnd"/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399.495,66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399.495,00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399.495,00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399.495,00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399.495,66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399.495,00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399.495,00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399.495,00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399.495,66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399.495,00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399.495,00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399.495,00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5.0. Pomoći - kapitalne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398.168,43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398.168,00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398.168,00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398.168,00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398.168,43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398.168,00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398.168,00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398.168,00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398.168,43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398.168,00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398.168,00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398.168,00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5.2. Pomoći - kompenzacijske mjere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K100400 Nogometno igralište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6,67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6,67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1.0.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5.0. Pomoći - kapitalne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7.0.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K100500 Dječje igralište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7.0.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K100600 Lovački dom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57,26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57,26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57,26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7.0.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57,26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57,26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57,26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K100700 Poučna staza s pratećim sadržajima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199.084,21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99.543,00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99.543,00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99.543,00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199.084,21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99.543,00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99.543,00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99.543,00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199.084,21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99.543,00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99.543,00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99.543,00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5.0. Pomoći - kapitalne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199.084,21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99.543,00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99.543,00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99.543,00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199.084,21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99.543,00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99.543,00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99.543,00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199.084,21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99.543,00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99.543,00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99.543,00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2190 INVESTICIJE ZA OSTALE POTREBE OPĆINE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69.015,86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69.015,00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69.015,00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69.015,00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9999FF" w:fill="9999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K100100 Zgrada DVD-a i KUD-a  </w:t>
            </w:r>
            <w:proofErr w:type="spellStart"/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Vođinci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5.0. Pomoći - kapitalne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K100150 Sustav navodnjavanja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5.0. Pomoći - kapitalne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5.2. Pomoći - kompenzacijske mjere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K100200 Dokumenti prostornog uređenja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5.2. Pomoći - kompenzacijske mjere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K300100 Informacijsko-komunikacijska oprema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10010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5.0. Pomoći - kapitalne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99" w:fill="FFFF99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14ADA" w:rsidRPr="00CC056A" w:rsidTr="00DC416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DA" w:rsidRPr="00CC056A" w:rsidRDefault="00C14ADA" w:rsidP="00DC41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:rsidR="00C14ADA" w:rsidRDefault="00C14ADA" w:rsidP="007E5C02">
      <w:pPr>
        <w:jc w:val="both"/>
        <w:rPr>
          <w:rFonts w:ascii="Arial" w:hAnsi="Arial" w:cs="Arial"/>
          <w:sz w:val="20"/>
          <w:szCs w:val="20"/>
        </w:rPr>
      </w:pPr>
    </w:p>
    <w:p w:rsidR="005164AC" w:rsidRDefault="005164AC" w:rsidP="007E5C02">
      <w:pPr>
        <w:jc w:val="both"/>
        <w:rPr>
          <w:rFonts w:ascii="Arial" w:hAnsi="Arial" w:cs="Arial"/>
          <w:sz w:val="20"/>
          <w:szCs w:val="20"/>
        </w:rPr>
      </w:pPr>
    </w:p>
    <w:p w:rsidR="005164AC" w:rsidRDefault="005164AC" w:rsidP="007E5C02">
      <w:pPr>
        <w:jc w:val="both"/>
        <w:rPr>
          <w:rFonts w:ascii="Arial" w:hAnsi="Arial" w:cs="Arial"/>
          <w:sz w:val="20"/>
          <w:szCs w:val="20"/>
        </w:rPr>
      </w:pPr>
    </w:p>
    <w:p w:rsidR="00C94766" w:rsidRDefault="00C94766" w:rsidP="007E5C02">
      <w:pPr>
        <w:jc w:val="both"/>
        <w:rPr>
          <w:rFonts w:ascii="Arial" w:hAnsi="Arial" w:cs="Arial"/>
          <w:sz w:val="20"/>
          <w:szCs w:val="20"/>
        </w:rPr>
      </w:pPr>
    </w:p>
    <w:p w:rsidR="00C94766" w:rsidRDefault="00C94766" w:rsidP="007E5C02">
      <w:pPr>
        <w:jc w:val="both"/>
        <w:rPr>
          <w:rFonts w:ascii="Arial" w:hAnsi="Arial" w:cs="Arial"/>
          <w:sz w:val="20"/>
          <w:szCs w:val="20"/>
        </w:rPr>
      </w:pPr>
    </w:p>
    <w:p w:rsidR="00C94766" w:rsidRDefault="00C94766" w:rsidP="007E5C02">
      <w:pPr>
        <w:jc w:val="both"/>
        <w:rPr>
          <w:rFonts w:ascii="Arial" w:hAnsi="Arial" w:cs="Arial"/>
          <w:sz w:val="20"/>
          <w:szCs w:val="20"/>
        </w:rPr>
      </w:pPr>
    </w:p>
    <w:p w:rsidR="00C94766" w:rsidRDefault="00C94766" w:rsidP="007E5C02">
      <w:pPr>
        <w:jc w:val="both"/>
        <w:rPr>
          <w:rFonts w:ascii="Arial" w:hAnsi="Arial" w:cs="Arial"/>
          <w:sz w:val="20"/>
          <w:szCs w:val="20"/>
        </w:rPr>
      </w:pPr>
    </w:p>
    <w:p w:rsidR="00C94766" w:rsidRDefault="00C94766" w:rsidP="007E5C02">
      <w:pPr>
        <w:jc w:val="both"/>
        <w:rPr>
          <w:rFonts w:ascii="Arial" w:hAnsi="Arial" w:cs="Arial"/>
          <w:sz w:val="20"/>
          <w:szCs w:val="20"/>
        </w:rPr>
      </w:pPr>
    </w:p>
    <w:p w:rsidR="00C94766" w:rsidRDefault="00C94766" w:rsidP="007E5C02">
      <w:pPr>
        <w:jc w:val="both"/>
        <w:rPr>
          <w:rFonts w:ascii="Arial" w:hAnsi="Arial" w:cs="Arial"/>
          <w:sz w:val="20"/>
          <w:szCs w:val="20"/>
        </w:rPr>
      </w:pPr>
    </w:p>
    <w:p w:rsidR="00C94766" w:rsidRDefault="00C94766" w:rsidP="007E5C02">
      <w:pPr>
        <w:jc w:val="both"/>
        <w:rPr>
          <w:rFonts w:ascii="Arial" w:hAnsi="Arial" w:cs="Arial"/>
          <w:sz w:val="20"/>
          <w:szCs w:val="20"/>
        </w:rPr>
      </w:pPr>
    </w:p>
    <w:p w:rsidR="006B0D15" w:rsidRPr="007E5C02" w:rsidRDefault="006B0D15" w:rsidP="007E5C02">
      <w:pPr>
        <w:jc w:val="both"/>
        <w:rPr>
          <w:rFonts w:ascii="Arial" w:hAnsi="Arial" w:cs="Arial"/>
          <w:sz w:val="20"/>
          <w:szCs w:val="20"/>
        </w:rPr>
      </w:pPr>
    </w:p>
    <w:p w:rsidR="006B0D15" w:rsidRPr="007E5C02" w:rsidRDefault="006B0D15" w:rsidP="007E5C02">
      <w:pPr>
        <w:jc w:val="both"/>
        <w:rPr>
          <w:rFonts w:ascii="Arial" w:hAnsi="Arial" w:cs="Arial"/>
          <w:sz w:val="20"/>
          <w:szCs w:val="20"/>
        </w:rPr>
      </w:pPr>
    </w:p>
    <w:p w:rsidR="006B0D15" w:rsidRPr="007E5C02" w:rsidRDefault="006B0D15" w:rsidP="007E5C02">
      <w:pPr>
        <w:jc w:val="both"/>
        <w:rPr>
          <w:rFonts w:ascii="Arial" w:hAnsi="Arial" w:cs="Arial"/>
          <w:sz w:val="20"/>
          <w:szCs w:val="20"/>
        </w:rPr>
      </w:pPr>
    </w:p>
    <w:p w:rsidR="006B0D15" w:rsidRPr="007E5C02" w:rsidRDefault="006B0D15" w:rsidP="007E5C02">
      <w:pPr>
        <w:jc w:val="both"/>
        <w:rPr>
          <w:rFonts w:ascii="Arial" w:hAnsi="Arial" w:cs="Arial"/>
          <w:sz w:val="20"/>
          <w:szCs w:val="20"/>
        </w:rPr>
      </w:pPr>
    </w:p>
    <w:p w:rsidR="006B0D15" w:rsidRPr="007E5C02" w:rsidRDefault="006B0D15" w:rsidP="007E5C02">
      <w:pPr>
        <w:jc w:val="both"/>
        <w:rPr>
          <w:rFonts w:ascii="Arial" w:hAnsi="Arial" w:cs="Arial"/>
          <w:sz w:val="20"/>
          <w:szCs w:val="20"/>
        </w:rPr>
      </w:pPr>
    </w:p>
    <w:p w:rsidR="006B0D15" w:rsidRPr="007E5C02" w:rsidRDefault="006B0D15" w:rsidP="007E5C02">
      <w:pPr>
        <w:jc w:val="both"/>
        <w:rPr>
          <w:rFonts w:ascii="Arial" w:hAnsi="Arial" w:cs="Arial"/>
          <w:sz w:val="20"/>
          <w:szCs w:val="20"/>
        </w:rPr>
      </w:pPr>
    </w:p>
    <w:p w:rsidR="006B0D15" w:rsidRPr="007E5C02" w:rsidRDefault="006B0D15" w:rsidP="007E5C02">
      <w:pPr>
        <w:jc w:val="both"/>
        <w:rPr>
          <w:rFonts w:ascii="Arial" w:hAnsi="Arial" w:cs="Arial"/>
          <w:sz w:val="20"/>
          <w:szCs w:val="20"/>
        </w:rPr>
      </w:pPr>
    </w:p>
    <w:p w:rsidR="00224A15" w:rsidRDefault="00224A15" w:rsidP="005A3679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224A15" w:rsidRDefault="00224A15" w:rsidP="005A3679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224A15" w:rsidRDefault="00224A15" w:rsidP="005A3679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224A15" w:rsidRDefault="00224A15" w:rsidP="005A3679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224A15" w:rsidRDefault="00224A15" w:rsidP="005A3679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224A15" w:rsidRDefault="00224A15" w:rsidP="005A3679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224A15" w:rsidRDefault="00224A15" w:rsidP="005A3679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224A15" w:rsidRDefault="00224A15" w:rsidP="005A3679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sectPr w:rsidR="00224A15" w:rsidSect="00C94766">
      <w:pgSz w:w="16838" w:h="11906" w:orient="landscape"/>
      <w:pgMar w:top="1418" w:right="1418" w:bottom="1418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FD" w:rsidRDefault="008A50FD" w:rsidP="00C94766">
      <w:r>
        <w:separator/>
      </w:r>
    </w:p>
  </w:endnote>
  <w:endnote w:type="continuationSeparator" w:id="0">
    <w:p w:rsidR="008A50FD" w:rsidRDefault="008A50FD" w:rsidP="00C9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FD" w:rsidRDefault="008A50FD" w:rsidP="00C94766">
      <w:r>
        <w:separator/>
      </w:r>
    </w:p>
  </w:footnote>
  <w:footnote w:type="continuationSeparator" w:id="0">
    <w:p w:rsidR="008A50FD" w:rsidRDefault="008A50FD" w:rsidP="00C94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EB263EB"/>
    <w:multiLevelType w:val="hybridMultilevel"/>
    <w:tmpl w:val="65DC1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F43AD"/>
    <w:multiLevelType w:val="hybridMultilevel"/>
    <w:tmpl w:val="DA78D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3122B"/>
    <w:multiLevelType w:val="hybridMultilevel"/>
    <w:tmpl w:val="40DEF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A2093"/>
    <w:multiLevelType w:val="hybridMultilevel"/>
    <w:tmpl w:val="530082B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765C14"/>
    <w:multiLevelType w:val="hybridMultilevel"/>
    <w:tmpl w:val="3746C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21D3A"/>
    <w:multiLevelType w:val="hybridMultilevel"/>
    <w:tmpl w:val="42A41A80"/>
    <w:lvl w:ilvl="0" w:tplc="6358993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4030B"/>
    <w:multiLevelType w:val="hybridMultilevel"/>
    <w:tmpl w:val="F6C6B8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056B91"/>
    <w:multiLevelType w:val="hybridMultilevel"/>
    <w:tmpl w:val="75907CEC"/>
    <w:lvl w:ilvl="0" w:tplc="0964C6E2">
      <w:start w:val="5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u w:val="single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A7E4E91"/>
    <w:multiLevelType w:val="hybridMultilevel"/>
    <w:tmpl w:val="60D8D068"/>
    <w:lvl w:ilvl="0" w:tplc="9E74438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057B71"/>
    <w:multiLevelType w:val="hybridMultilevel"/>
    <w:tmpl w:val="948ADA76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61B44"/>
    <w:multiLevelType w:val="multilevel"/>
    <w:tmpl w:val="FAEE1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960" w:hanging="720"/>
      </w:pPr>
    </w:lvl>
    <w:lvl w:ilvl="4">
      <w:start w:val="1"/>
      <w:numFmt w:val="decimal"/>
      <w:isLgl/>
      <w:lvlText w:val="%1.%2.%3.%4.%5"/>
      <w:lvlJc w:val="left"/>
      <w:pPr>
        <w:ind w:left="5400" w:hanging="1080"/>
      </w:pPr>
    </w:lvl>
    <w:lvl w:ilvl="5">
      <w:start w:val="1"/>
      <w:numFmt w:val="decimal"/>
      <w:isLgl/>
      <w:lvlText w:val="%1.%2.%3.%4.%5.%6"/>
      <w:lvlJc w:val="left"/>
      <w:pPr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7">
    <w:nsid w:val="368B36AF"/>
    <w:multiLevelType w:val="hybridMultilevel"/>
    <w:tmpl w:val="69D45822"/>
    <w:lvl w:ilvl="0" w:tplc="E760147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38D514CE"/>
    <w:multiLevelType w:val="hybridMultilevel"/>
    <w:tmpl w:val="3F421B12"/>
    <w:lvl w:ilvl="0" w:tplc="702CD73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C0A78D4"/>
    <w:multiLevelType w:val="hybridMultilevel"/>
    <w:tmpl w:val="EE109D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C00F4F"/>
    <w:multiLevelType w:val="hybridMultilevel"/>
    <w:tmpl w:val="A7DC4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21DB7"/>
    <w:multiLevelType w:val="multilevel"/>
    <w:tmpl w:val="BD447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54B87061"/>
    <w:multiLevelType w:val="hybridMultilevel"/>
    <w:tmpl w:val="09708568"/>
    <w:lvl w:ilvl="0" w:tplc="5134B39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C16268"/>
    <w:multiLevelType w:val="hybridMultilevel"/>
    <w:tmpl w:val="DA769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6F4E76"/>
    <w:multiLevelType w:val="hybridMultilevel"/>
    <w:tmpl w:val="BA76C578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7062D"/>
    <w:multiLevelType w:val="hybridMultilevel"/>
    <w:tmpl w:val="B574C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33495"/>
    <w:multiLevelType w:val="hybridMultilevel"/>
    <w:tmpl w:val="0F66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80864"/>
    <w:multiLevelType w:val="hybridMultilevel"/>
    <w:tmpl w:val="4A8A0232"/>
    <w:lvl w:ilvl="0" w:tplc="B01A54F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941CA0"/>
    <w:multiLevelType w:val="multilevel"/>
    <w:tmpl w:val="27F429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b/>
      </w:rPr>
    </w:lvl>
  </w:abstractNum>
  <w:abstractNum w:abstractNumId="30">
    <w:nsid w:val="7A643202"/>
    <w:multiLevelType w:val="hybridMultilevel"/>
    <w:tmpl w:val="365A9808"/>
    <w:lvl w:ilvl="0" w:tplc="72F45AF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A6F361D"/>
    <w:multiLevelType w:val="hybridMultilevel"/>
    <w:tmpl w:val="AD4A7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5"/>
  </w:num>
  <w:num w:numId="11">
    <w:abstractNumId w:val="1"/>
  </w:num>
  <w:num w:numId="1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0"/>
  </w:num>
  <w:num w:numId="19">
    <w:abstractNumId w:val="3"/>
  </w:num>
  <w:num w:numId="20">
    <w:abstractNumId w:val="4"/>
  </w:num>
  <w:num w:numId="21">
    <w:abstractNumId w:val="7"/>
  </w:num>
  <w:num w:numId="22">
    <w:abstractNumId w:val="13"/>
  </w:num>
  <w:num w:numId="23">
    <w:abstractNumId w:val="14"/>
  </w:num>
  <w:num w:numId="24">
    <w:abstractNumId w:val="26"/>
  </w:num>
  <w:num w:numId="25">
    <w:abstractNumId w:val="32"/>
  </w:num>
  <w:num w:numId="26">
    <w:abstractNumId w:val="31"/>
  </w:num>
  <w:num w:numId="27">
    <w:abstractNumId w:val="17"/>
  </w:num>
  <w:num w:numId="28">
    <w:abstractNumId w:val="19"/>
  </w:num>
  <w:num w:numId="29">
    <w:abstractNumId w:val="11"/>
  </w:num>
  <w:num w:numId="30">
    <w:abstractNumId w:val="25"/>
  </w:num>
  <w:num w:numId="31">
    <w:abstractNumId w:val="24"/>
  </w:num>
  <w:num w:numId="32">
    <w:abstractNumId w:val="6"/>
  </w:num>
  <w:num w:numId="33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17"/>
    <w:rsid w:val="000113DF"/>
    <w:rsid w:val="00030C72"/>
    <w:rsid w:val="00037629"/>
    <w:rsid w:val="00045917"/>
    <w:rsid w:val="00087165"/>
    <w:rsid w:val="000D7042"/>
    <w:rsid w:val="001774B4"/>
    <w:rsid w:val="00185D07"/>
    <w:rsid w:val="001C49B2"/>
    <w:rsid w:val="001D6050"/>
    <w:rsid w:val="001E05A7"/>
    <w:rsid w:val="001E2311"/>
    <w:rsid w:val="00200511"/>
    <w:rsid w:val="00224A15"/>
    <w:rsid w:val="0027236F"/>
    <w:rsid w:val="002F296F"/>
    <w:rsid w:val="002F52F1"/>
    <w:rsid w:val="00362921"/>
    <w:rsid w:val="00365360"/>
    <w:rsid w:val="00373305"/>
    <w:rsid w:val="003A2D8D"/>
    <w:rsid w:val="003B04F1"/>
    <w:rsid w:val="003C2BB9"/>
    <w:rsid w:val="003F0722"/>
    <w:rsid w:val="004522BF"/>
    <w:rsid w:val="00472CC0"/>
    <w:rsid w:val="00480FF1"/>
    <w:rsid w:val="004A5F6F"/>
    <w:rsid w:val="004A6DB8"/>
    <w:rsid w:val="004F3380"/>
    <w:rsid w:val="004F50D7"/>
    <w:rsid w:val="005164AC"/>
    <w:rsid w:val="00524782"/>
    <w:rsid w:val="0053370E"/>
    <w:rsid w:val="005976D6"/>
    <w:rsid w:val="005A35F4"/>
    <w:rsid w:val="005A3679"/>
    <w:rsid w:val="005A621E"/>
    <w:rsid w:val="005B074F"/>
    <w:rsid w:val="005B4B8E"/>
    <w:rsid w:val="005E0FBB"/>
    <w:rsid w:val="005F511B"/>
    <w:rsid w:val="005F5625"/>
    <w:rsid w:val="00604594"/>
    <w:rsid w:val="00611E32"/>
    <w:rsid w:val="00624F00"/>
    <w:rsid w:val="00625528"/>
    <w:rsid w:val="00643EA4"/>
    <w:rsid w:val="006571C2"/>
    <w:rsid w:val="006659BA"/>
    <w:rsid w:val="006A2680"/>
    <w:rsid w:val="006B0D15"/>
    <w:rsid w:val="006B32D6"/>
    <w:rsid w:val="006C0F27"/>
    <w:rsid w:val="00735C92"/>
    <w:rsid w:val="00770966"/>
    <w:rsid w:val="00776E60"/>
    <w:rsid w:val="007B2B5B"/>
    <w:rsid w:val="007B6452"/>
    <w:rsid w:val="007D11EE"/>
    <w:rsid w:val="007E5C02"/>
    <w:rsid w:val="00892048"/>
    <w:rsid w:val="008A50FD"/>
    <w:rsid w:val="008B3C8E"/>
    <w:rsid w:val="008D46D7"/>
    <w:rsid w:val="00907D58"/>
    <w:rsid w:val="00923A62"/>
    <w:rsid w:val="009802E1"/>
    <w:rsid w:val="00985A72"/>
    <w:rsid w:val="00992A01"/>
    <w:rsid w:val="009B1374"/>
    <w:rsid w:val="009E1688"/>
    <w:rsid w:val="009E315A"/>
    <w:rsid w:val="009E4F49"/>
    <w:rsid w:val="00A015FB"/>
    <w:rsid w:val="00A02A15"/>
    <w:rsid w:val="00A34562"/>
    <w:rsid w:val="00A347F5"/>
    <w:rsid w:val="00A5435C"/>
    <w:rsid w:val="00A57EA4"/>
    <w:rsid w:val="00A6090F"/>
    <w:rsid w:val="00A6196D"/>
    <w:rsid w:val="00AB0435"/>
    <w:rsid w:val="00AB2A12"/>
    <w:rsid w:val="00AC2D18"/>
    <w:rsid w:val="00AD3218"/>
    <w:rsid w:val="00B06198"/>
    <w:rsid w:val="00B266FD"/>
    <w:rsid w:val="00B57CD2"/>
    <w:rsid w:val="00B774C1"/>
    <w:rsid w:val="00B9556B"/>
    <w:rsid w:val="00BA556E"/>
    <w:rsid w:val="00BE6E80"/>
    <w:rsid w:val="00C00712"/>
    <w:rsid w:val="00C02B24"/>
    <w:rsid w:val="00C14ADA"/>
    <w:rsid w:val="00C25D67"/>
    <w:rsid w:val="00C34B53"/>
    <w:rsid w:val="00C47097"/>
    <w:rsid w:val="00C472C4"/>
    <w:rsid w:val="00C47E04"/>
    <w:rsid w:val="00C56D17"/>
    <w:rsid w:val="00C91E3C"/>
    <w:rsid w:val="00C94766"/>
    <w:rsid w:val="00CA65B0"/>
    <w:rsid w:val="00CB1586"/>
    <w:rsid w:val="00D440DB"/>
    <w:rsid w:val="00D55D18"/>
    <w:rsid w:val="00D62BAE"/>
    <w:rsid w:val="00D70322"/>
    <w:rsid w:val="00DB723A"/>
    <w:rsid w:val="00DC1C37"/>
    <w:rsid w:val="00DC416F"/>
    <w:rsid w:val="00E4179F"/>
    <w:rsid w:val="00E61A99"/>
    <w:rsid w:val="00E701C3"/>
    <w:rsid w:val="00E704C6"/>
    <w:rsid w:val="00E72B4B"/>
    <w:rsid w:val="00E80402"/>
    <w:rsid w:val="00EA45CB"/>
    <w:rsid w:val="00EA58B2"/>
    <w:rsid w:val="00F008B7"/>
    <w:rsid w:val="00F40AD4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7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qFormat/>
    <w:rsid w:val="005A3679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lang w:eastAsia="hr-HR" w:bidi="ar-SA"/>
    </w:rPr>
  </w:style>
  <w:style w:type="paragraph" w:styleId="Naslov2">
    <w:name w:val="heading 2"/>
    <w:basedOn w:val="Normal"/>
    <w:next w:val="Normal"/>
    <w:link w:val="Naslov2Char"/>
    <w:unhideWhenUsed/>
    <w:qFormat/>
    <w:rsid w:val="005A367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A3679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 w:bidi="ar-SA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A367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5A3679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A367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Naslov7">
    <w:name w:val="heading 7"/>
    <w:basedOn w:val="Normal"/>
    <w:next w:val="Normal"/>
    <w:link w:val="Naslov7Char"/>
    <w:uiPriority w:val="99"/>
    <w:semiHidden/>
    <w:unhideWhenUsed/>
    <w:qFormat/>
    <w:rsid w:val="005A3679"/>
    <w:pPr>
      <w:keepNext/>
      <w:widowControl/>
      <w:outlineLvl w:val="6"/>
    </w:pPr>
    <w:rPr>
      <w:rFonts w:eastAsia="Times New Roman" w:cs="Calibri"/>
      <w:b/>
      <w:color w:val="FF9900"/>
      <w:kern w:val="0"/>
      <w:sz w:val="28"/>
      <w:szCs w:val="22"/>
      <w:lang w:eastAsia="ar-SA" w:bidi="ar-SA"/>
    </w:rPr>
  </w:style>
  <w:style w:type="paragraph" w:styleId="Naslov8">
    <w:name w:val="heading 8"/>
    <w:basedOn w:val="Normal"/>
    <w:next w:val="Normal"/>
    <w:link w:val="Naslov8Char"/>
    <w:uiPriority w:val="99"/>
    <w:semiHidden/>
    <w:unhideWhenUsed/>
    <w:qFormat/>
    <w:rsid w:val="005A3679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Naslov9">
    <w:name w:val="heading 9"/>
    <w:basedOn w:val="Normal"/>
    <w:next w:val="Normal"/>
    <w:link w:val="Naslov9Char"/>
    <w:uiPriority w:val="99"/>
    <w:semiHidden/>
    <w:unhideWhenUsed/>
    <w:qFormat/>
    <w:rsid w:val="005A3679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A367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5A367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Naslov3Char">
    <w:name w:val="Naslov 3 Char"/>
    <w:basedOn w:val="Zadanifontodlomka"/>
    <w:link w:val="Naslov3"/>
    <w:semiHidden/>
    <w:rsid w:val="005A3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semiHidden/>
    <w:rsid w:val="005A367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customStyle="1" w:styleId="Naslov5Char">
    <w:name w:val="Naslov 5 Char"/>
    <w:basedOn w:val="Zadanifontodlomka"/>
    <w:link w:val="Naslov5"/>
    <w:semiHidden/>
    <w:rsid w:val="005A3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rsid w:val="005A3679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19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96D"/>
    <w:rPr>
      <w:rFonts w:ascii="Tahoma" w:hAnsi="Tahoma" w:cs="Tahoma"/>
      <w:sz w:val="16"/>
      <w:szCs w:val="16"/>
    </w:rPr>
  </w:style>
  <w:style w:type="character" w:customStyle="1" w:styleId="Naslov6Char">
    <w:name w:val="Naslov 6 Char"/>
    <w:basedOn w:val="Zadanifontodlomka"/>
    <w:link w:val="Naslov6"/>
    <w:semiHidden/>
    <w:rsid w:val="005A3679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Naslov7Char">
    <w:name w:val="Naslov 7 Char"/>
    <w:basedOn w:val="Zadanifontodlomka"/>
    <w:link w:val="Naslov7"/>
    <w:uiPriority w:val="99"/>
    <w:semiHidden/>
    <w:rsid w:val="005A3679"/>
    <w:rPr>
      <w:rFonts w:ascii="Times New Roman" w:eastAsia="Times New Roman" w:hAnsi="Times New Roman" w:cs="Calibri"/>
      <w:b/>
      <w:color w:val="FF9900"/>
      <w:sz w:val="28"/>
      <w:lang w:eastAsia="ar-SA"/>
    </w:rPr>
  </w:style>
  <w:style w:type="character" w:customStyle="1" w:styleId="Naslov9Char">
    <w:name w:val="Naslov 9 Char"/>
    <w:basedOn w:val="Zadanifontodlomka"/>
    <w:link w:val="Naslov9"/>
    <w:uiPriority w:val="99"/>
    <w:semiHidden/>
    <w:rsid w:val="005A3679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5A367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3679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5A36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5A3679"/>
    <w:pPr>
      <w:spacing w:after="100"/>
    </w:pPr>
    <w:rPr>
      <w:szCs w:val="21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5A3679"/>
    <w:pPr>
      <w:spacing w:after="100"/>
      <w:ind w:left="240"/>
    </w:pPr>
    <w:rPr>
      <w:szCs w:val="21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5A3679"/>
    <w:pPr>
      <w:spacing w:after="100"/>
      <w:ind w:left="480"/>
    </w:pPr>
    <w:rPr>
      <w:szCs w:val="21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720"/>
    </w:pPr>
    <w:rPr>
      <w:rFonts w:ascii="Arial" w:hAnsi="Arial" w:cs="Arial"/>
      <w:noProof/>
      <w:szCs w:val="21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960"/>
    </w:pPr>
    <w:rPr>
      <w:rFonts w:ascii="Arial" w:hAnsi="Arial" w:cs="Arial"/>
      <w:b/>
      <w:bCs/>
      <w:noProof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uiPriority w:val="99"/>
    <w:unhideWhenUsed/>
    <w:qFormat/>
    <w:rsid w:val="005A3679"/>
    <w:pPr>
      <w:spacing w:after="120"/>
    </w:pPr>
    <w:rPr>
      <w:rFonts w:eastAsia="Lucida Sans Unicod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A367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slov">
    <w:name w:val="Title"/>
    <w:basedOn w:val="Normal"/>
    <w:next w:val="Normal"/>
    <w:link w:val="NaslovChar"/>
    <w:uiPriority w:val="10"/>
    <w:qFormat/>
    <w:rsid w:val="005A3679"/>
    <w:pPr>
      <w:widowControl/>
      <w:suppressAutoHyphens w:val="0"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5A3679"/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A3679"/>
    <w:pPr>
      <w:spacing w:after="120"/>
      <w:ind w:left="283"/>
    </w:pPr>
    <w:rPr>
      <w:szCs w:val="21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A3679"/>
    <w:rPr>
      <w:rFonts w:ascii="Arial" w:eastAsia="Times New Roman" w:hAnsi="Arial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A3679"/>
    <w:pPr>
      <w:widowControl/>
      <w:suppressAutoHyphens w:val="0"/>
      <w:spacing w:after="120" w:line="480" w:lineRule="auto"/>
    </w:pPr>
    <w:rPr>
      <w:rFonts w:ascii="Arial" w:eastAsia="Times New Roman" w:hAnsi="Arial" w:cs="Times New Roman"/>
      <w:kern w:val="0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3679"/>
    <w:rPr>
      <w:rFonts w:ascii="Calibri" w:hAnsi="Calibri"/>
      <w:szCs w:val="21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5A367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A3679"/>
    <w:rPr>
      <w:rFonts w:ascii="Times New Roman" w:eastAsiaTheme="minorEastAsia" w:hAnsi="Times New Roman" w:cs="Times New Roman"/>
    </w:rPr>
  </w:style>
  <w:style w:type="paragraph" w:styleId="Bezproreda">
    <w:name w:val="No Spacing"/>
    <w:link w:val="BezproredaChar"/>
    <w:uiPriority w:val="1"/>
    <w:qFormat/>
    <w:rsid w:val="005A367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Odlomakpopisa">
    <w:name w:val="List Paragraph"/>
    <w:basedOn w:val="Normal"/>
    <w:uiPriority w:val="34"/>
    <w:qFormat/>
    <w:rsid w:val="005A3679"/>
    <w:pPr>
      <w:ind w:left="720"/>
      <w:contextualSpacing/>
    </w:pPr>
    <w:rPr>
      <w:szCs w:val="21"/>
    </w:rPr>
  </w:style>
  <w:style w:type="paragraph" w:customStyle="1" w:styleId="Index">
    <w:name w:val="Index"/>
    <w:basedOn w:val="Normal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Odlomakpopisa1">
    <w:name w:val="Odlomak popisa1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Default">
    <w:name w:val="Default"/>
    <w:uiPriority w:val="99"/>
    <w:rsid w:val="005A367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customStyle="1" w:styleId="Odlomakpopisa2">
    <w:name w:val="Odlomak popisa2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Naslov10">
    <w:name w:val="Naslov1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Opis">
    <w:name w:val="Opis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ks">
    <w:name w:val="Indeks"/>
    <w:basedOn w:val="Normal"/>
    <w:uiPriority w:val="99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Heading">
    <w:name w:val="Heading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Caption1">
    <w:name w:val="Caption1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TableContents">
    <w:name w:val="Table Contents"/>
    <w:basedOn w:val="Normal"/>
    <w:uiPriority w:val="99"/>
    <w:rsid w:val="005A3679"/>
    <w:pPr>
      <w:widowControl/>
      <w:suppressLineNumbers/>
    </w:pPr>
    <w:rPr>
      <w:rFonts w:eastAsia="Times New Roman" w:cs="Calibri"/>
      <w:kern w:val="0"/>
      <w:lang w:eastAsia="ar-SA" w:bidi="ar-SA"/>
    </w:rPr>
  </w:style>
  <w:style w:type="paragraph" w:customStyle="1" w:styleId="TableHeading">
    <w:name w:val="Table Heading"/>
    <w:basedOn w:val="TableContents"/>
    <w:uiPriority w:val="99"/>
    <w:rsid w:val="005A367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ListParagraph1">
    <w:name w:val="List Paragraph1"/>
    <w:basedOn w:val="Normal"/>
    <w:uiPriority w:val="99"/>
    <w:rsid w:val="005A3679"/>
    <w:pPr>
      <w:ind w:left="720"/>
    </w:pPr>
    <w:rPr>
      <w:rFonts w:eastAsia="Lucida Sans Unicode" w:cs="Calibri"/>
      <w:lang w:eastAsia="ar-SA" w:bidi="ar-SA"/>
    </w:rPr>
  </w:style>
  <w:style w:type="paragraph" w:customStyle="1" w:styleId="Sadrajitablice">
    <w:name w:val="Sadržaji tablice"/>
    <w:basedOn w:val="Normal"/>
    <w:uiPriority w:val="99"/>
    <w:rsid w:val="005A3679"/>
    <w:pPr>
      <w:suppressLineNumbers/>
    </w:pPr>
    <w:rPr>
      <w:rFonts w:eastAsia="Lucida Sans Unicode" w:cs="Calibri"/>
      <w:lang w:eastAsia="ar-SA" w:bidi="ar-SA"/>
    </w:rPr>
  </w:style>
  <w:style w:type="paragraph" w:customStyle="1" w:styleId="Naslovtablice">
    <w:name w:val="Naslov tablice"/>
    <w:basedOn w:val="Sadrajitablice"/>
    <w:uiPriority w:val="99"/>
    <w:rsid w:val="005A3679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Normal1">
    <w:name w:val="Normal1"/>
    <w:uiPriority w:val="99"/>
    <w:rsid w:val="005A367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t">
    <w:name w:val="st"/>
    <w:basedOn w:val="Zadanifontodlomka"/>
    <w:rsid w:val="005A3679"/>
  </w:style>
  <w:style w:type="character" w:customStyle="1" w:styleId="WW8Num1z0">
    <w:name w:val="WW8Num1z0"/>
    <w:rsid w:val="005A3679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5A3679"/>
    <w:rPr>
      <w:rFonts w:ascii="Symbol" w:hAnsi="Symbol" w:hint="default"/>
    </w:rPr>
  </w:style>
  <w:style w:type="character" w:customStyle="1" w:styleId="WW8Num2z1">
    <w:name w:val="WW8Num2z1"/>
    <w:rsid w:val="005A3679"/>
    <w:rPr>
      <w:rFonts w:ascii="Courier New" w:hAnsi="Courier New" w:cs="Courier New" w:hint="default"/>
    </w:rPr>
  </w:style>
  <w:style w:type="character" w:customStyle="1" w:styleId="WW8Num2z2">
    <w:name w:val="WW8Num2z2"/>
    <w:rsid w:val="005A3679"/>
    <w:rPr>
      <w:rFonts w:ascii="Wingdings" w:hAnsi="Wingdings" w:hint="default"/>
    </w:rPr>
  </w:style>
  <w:style w:type="character" w:customStyle="1" w:styleId="WW8Num3z0">
    <w:name w:val="WW8Num3z0"/>
    <w:rsid w:val="005A3679"/>
    <w:rPr>
      <w:b/>
      <w:bCs w:val="0"/>
    </w:rPr>
  </w:style>
  <w:style w:type="character" w:customStyle="1" w:styleId="WW8Num4z0">
    <w:name w:val="WW8Num4z0"/>
    <w:rsid w:val="005A3679"/>
    <w:rPr>
      <w:rFonts w:ascii="Symbol" w:hAnsi="Symbol" w:hint="default"/>
    </w:rPr>
  </w:style>
  <w:style w:type="character" w:customStyle="1" w:styleId="WW8Num4z1">
    <w:name w:val="WW8Num4z1"/>
    <w:rsid w:val="005A3679"/>
    <w:rPr>
      <w:rFonts w:ascii="Courier New" w:hAnsi="Courier New" w:cs="Courier New" w:hint="default"/>
    </w:rPr>
  </w:style>
  <w:style w:type="character" w:customStyle="1" w:styleId="WW8Num4z2">
    <w:name w:val="WW8Num4z2"/>
    <w:rsid w:val="005A3679"/>
    <w:rPr>
      <w:rFonts w:ascii="Wingdings" w:hAnsi="Wingdings" w:hint="default"/>
    </w:rPr>
  </w:style>
  <w:style w:type="character" w:customStyle="1" w:styleId="WW8Num5z0">
    <w:name w:val="WW8Num5z0"/>
    <w:rsid w:val="005A3679"/>
    <w:rPr>
      <w:rFonts w:ascii="Symbol" w:hAnsi="Symbol" w:hint="default"/>
    </w:rPr>
  </w:style>
  <w:style w:type="character" w:customStyle="1" w:styleId="WW8Num5z1">
    <w:name w:val="WW8Num5z1"/>
    <w:rsid w:val="005A3679"/>
    <w:rPr>
      <w:rFonts w:ascii="Courier New" w:hAnsi="Courier New" w:cs="Courier New" w:hint="default"/>
    </w:rPr>
  </w:style>
  <w:style w:type="character" w:customStyle="1" w:styleId="WW8Num5z2">
    <w:name w:val="WW8Num5z2"/>
    <w:rsid w:val="005A3679"/>
    <w:rPr>
      <w:rFonts w:ascii="Wingdings" w:hAnsi="Wingdings" w:hint="default"/>
    </w:rPr>
  </w:style>
  <w:style w:type="character" w:customStyle="1" w:styleId="WW8Num6z0">
    <w:name w:val="WW8Num6z0"/>
    <w:rsid w:val="005A3679"/>
    <w:rPr>
      <w:rFonts w:ascii="Symbol" w:hAnsi="Symbol" w:hint="default"/>
    </w:rPr>
  </w:style>
  <w:style w:type="character" w:customStyle="1" w:styleId="WW8Num6z1">
    <w:name w:val="WW8Num6z1"/>
    <w:rsid w:val="005A3679"/>
    <w:rPr>
      <w:rFonts w:ascii="Courier New" w:hAnsi="Courier New" w:cs="Courier New" w:hint="default"/>
    </w:rPr>
  </w:style>
  <w:style w:type="character" w:customStyle="1" w:styleId="WW8Num6z2">
    <w:name w:val="WW8Num6z2"/>
    <w:rsid w:val="005A3679"/>
    <w:rPr>
      <w:rFonts w:ascii="Wingdings" w:hAnsi="Wingdings" w:hint="default"/>
    </w:rPr>
  </w:style>
  <w:style w:type="character" w:customStyle="1" w:styleId="WW8Num7z0">
    <w:name w:val="WW8Num7z0"/>
    <w:rsid w:val="005A3679"/>
    <w:rPr>
      <w:rFonts w:ascii="Symbol" w:hAnsi="Symbol" w:hint="default"/>
    </w:rPr>
  </w:style>
  <w:style w:type="character" w:customStyle="1" w:styleId="WW8Num7z1">
    <w:name w:val="WW8Num7z1"/>
    <w:rsid w:val="005A3679"/>
    <w:rPr>
      <w:rFonts w:ascii="Courier New" w:hAnsi="Courier New" w:cs="Courier New" w:hint="default"/>
    </w:rPr>
  </w:style>
  <w:style w:type="character" w:customStyle="1" w:styleId="WW8Num7z2">
    <w:name w:val="WW8Num7z2"/>
    <w:rsid w:val="005A3679"/>
    <w:rPr>
      <w:rFonts w:ascii="Wingdings" w:hAnsi="Wingdings" w:hint="default"/>
    </w:rPr>
  </w:style>
  <w:style w:type="character" w:customStyle="1" w:styleId="WW8Num8z0">
    <w:name w:val="WW8Num8z0"/>
    <w:rsid w:val="005A3679"/>
    <w:rPr>
      <w:rFonts w:ascii="Symbol" w:hAnsi="Symbol" w:hint="default"/>
    </w:rPr>
  </w:style>
  <w:style w:type="character" w:customStyle="1" w:styleId="WW8Num8z1">
    <w:name w:val="WW8Num8z1"/>
    <w:rsid w:val="005A3679"/>
    <w:rPr>
      <w:rFonts w:ascii="Courier New" w:hAnsi="Courier New" w:cs="Courier New" w:hint="default"/>
    </w:rPr>
  </w:style>
  <w:style w:type="character" w:customStyle="1" w:styleId="WW8Num8z2">
    <w:name w:val="WW8Num8z2"/>
    <w:rsid w:val="005A3679"/>
    <w:rPr>
      <w:rFonts w:ascii="Wingdings" w:hAnsi="Wingdings" w:hint="default"/>
    </w:rPr>
  </w:style>
  <w:style w:type="character" w:customStyle="1" w:styleId="WW8Num9z0">
    <w:name w:val="WW8Num9z0"/>
    <w:rsid w:val="005A3679"/>
    <w:rPr>
      <w:rFonts w:ascii="Symbol" w:hAnsi="Symbol" w:hint="default"/>
    </w:rPr>
  </w:style>
  <w:style w:type="character" w:customStyle="1" w:styleId="WW8Num9z1">
    <w:name w:val="WW8Num9z1"/>
    <w:rsid w:val="005A3679"/>
    <w:rPr>
      <w:rFonts w:ascii="Courier New" w:hAnsi="Courier New" w:cs="Courier New" w:hint="default"/>
    </w:rPr>
  </w:style>
  <w:style w:type="character" w:customStyle="1" w:styleId="WW8Num9z2">
    <w:name w:val="WW8Num9z2"/>
    <w:rsid w:val="005A3679"/>
    <w:rPr>
      <w:rFonts w:ascii="Wingdings" w:hAnsi="Wingdings" w:hint="default"/>
    </w:rPr>
  </w:style>
  <w:style w:type="character" w:customStyle="1" w:styleId="WW8Num10z0">
    <w:name w:val="WW8Num10z0"/>
    <w:rsid w:val="005A3679"/>
    <w:rPr>
      <w:b/>
      <w:bCs w:val="0"/>
    </w:rPr>
  </w:style>
  <w:style w:type="character" w:customStyle="1" w:styleId="WW8Num11z0">
    <w:name w:val="WW8Num11z0"/>
    <w:rsid w:val="005A3679"/>
    <w:rPr>
      <w:rFonts w:ascii="Symbol" w:hAnsi="Symbol" w:hint="default"/>
    </w:rPr>
  </w:style>
  <w:style w:type="character" w:customStyle="1" w:styleId="WW8Num11z1">
    <w:name w:val="WW8Num11z1"/>
    <w:rsid w:val="005A3679"/>
    <w:rPr>
      <w:rFonts w:ascii="Courier New" w:hAnsi="Courier New" w:cs="Courier New" w:hint="default"/>
    </w:rPr>
  </w:style>
  <w:style w:type="character" w:customStyle="1" w:styleId="WW8Num11z2">
    <w:name w:val="WW8Num11z2"/>
    <w:rsid w:val="005A3679"/>
    <w:rPr>
      <w:rFonts w:ascii="Wingdings" w:hAnsi="Wingdings" w:hint="default"/>
    </w:rPr>
  </w:style>
  <w:style w:type="character" w:customStyle="1" w:styleId="WW8Num12z0">
    <w:name w:val="WW8Num12z0"/>
    <w:rsid w:val="005A3679"/>
    <w:rPr>
      <w:rFonts w:ascii="Symbol" w:hAnsi="Symbol" w:hint="default"/>
    </w:rPr>
  </w:style>
  <w:style w:type="character" w:customStyle="1" w:styleId="WW8Num12z1">
    <w:name w:val="WW8Num12z1"/>
    <w:rsid w:val="005A3679"/>
    <w:rPr>
      <w:rFonts w:ascii="Courier New" w:hAnsi="Courier New" w:cs="Courier New" w:hint="default"/>
    </w:rPr>
  </w:style>
  <w:style w:type="character" w:customStyle="1" w:styleId="WW8Num12z2">
    <w:name w:val="WW8Num12z2"/>
    <w:rsid w:val="005A3679"/>
    <w:rPr>
      <w:rFonts w:ascii="Wingdings" w:hAnsi="Wingdings" w:hint="default"/>
    </w:rPr>
  </w:style>
  <w:style w:type="character" w:customStyle="1" w:styleId="WW8Num13z0">
    <w:name w:val="WW8Num13z0"/>
    <w:rsid w:val="005A3679"/>
    <w:rPr>
      <w:rFonts w:ascii="Symbol" w:hAnsi="Symbol" w:hint="default"/>
    </w:rPr>
  </w:style>
  <w:style w:type="character" w:customStyle="1" w:styleId="WW8Num13z1">
    <w:name w:val="WW8Num13z1"/>
    <w:rsid w:val="005A3679"/>
    <w:rPr>
      <w:rFonts w:ascii="Courier New" w:hAnsi="Courier New" w:cs="Courier New" w:hint="default"/>
    </w:rPr>
  </w:style>
  <w:style w:type="character" w:customStyle="1" w:styleId="WW8Num13z2">
    <w:name w:val="WW8Num13z2"/>
    <w:rsid w:val="005A3679"/>
    <w:rPr>
      <w:rFonts w:ascii="Wingdings" w:hAnsi="Wingdings" w:hint="default"/>
    </w:rPr>
  </w:style>
  <w:style w:type="character" w:customStyle="1" w:styleId="WW8Num14z0">
    <w:name w:val="WW8Num14z0"/>
    <w:rsid w:val="005A3679"/>
    <w:rPr>
      <w:rFonts w:ascii="Symbol" w:hAnsi="Symbol" w:hint="default"/>
    </w:rPr>
  </w:style>
  <w:style w:type="character" w:customStyle="1" w:styleId="WW8Num14z1">
    <w:name w:val="WW8Num14z1"/>
    <w:rsid w:val="005A3679"/>
    <w:rPr>
      <w:rFonts w:ascii="Times New Roman" w:hAnsi="Times New Roman" w:cs="Times New Roman" w:hint="default"/>
    </w:rPr>
  </w:style>
  <w:style w:type="character" w:customStyle="1" w:styleId="WW8Num14z2">
    <w:name w:val="WW8Num14z2"/>
    <w:rsid w:val="005A3679"/>
    <w:rPr>
      <w:rFonts w:ascii="Wingdings" w:hAnsi="Wingdings" w:hint="default"/>
    </w:rPr>
  </w:style>
  <w:style w:type="character" w:customStyle="1" w:styleId="WW8Num14z4">
    <w:name w:val="WW8Num14z4"/>
    <w:rsid w:val="005A3679"/>
    <w:rPr>
      <w:rFonts w:ascii="Courier New" w:hAnsi="Courier New" w:cs="Courier New" w:hint="default"/>
    </w:rPr>
  </w:style>
  <w:style w:type="character" w:customStyle="1" w:styleId="WW8Num15z0">
    <w:name w:val="WW8Num15z0"/>
    <w:rsid w:val="005A3679"/>
    <w:rPr>
      <w:rFonts w:ascii="Symbol" w:hAnsi="Symbol" w:hint="default"/>
    </w:rPr>
  </w:style>
  <w:style w:type="character" w:customStyle="1" w:styleId="WW8Num15z1">
    <w:name w:val="WW8Num15z1"/>
    <w:rsid w:val="005A3679"/>
    <w:rPr>
      <w:rFonts w:ascii="Courier New" w:hAnsi="Courier New" w:cs="Courier New" w:hint="default"/>
    </w:rPr>
  </w:style>
  <w:style w:type="character" w:customStyle="1" w:styleId="WW8Num15z2">
    <w:name w:val="WW8Num15z2"/>
    <w:rsid w:val="005A3679"/>
    <w:rPr>
      <w:rFonts w:ascii="Wingdings" w:hAnsi="Wingdings" w:hint="default"/>
    </w:rPr>
  </w:style>
  <w:style w:type="character" w:customStyle="1" w:styleId="WW8Num17z0">
    <w:name w:val="WW8Num17z0"/>
    <w:rsid w:val="005A3679"/>
    <w:rPr>
      <w:rFonts w:ascii="Symbol" w:hAnsi="Symbol" w:hint="default"/>
    </w:rPr>
  </w:style>
  <w:style w:type="character" w:customStyle="1" w:styleId="WW8Num17z1">
    <w:name w:val="WW8Num17z1"/>
    <w:rsid w:val="005A3679"/>
    <w:rPr>
      <w:rFonts w:ascii="Courier New" w:hAnsi="Courier New" w:cs="Courier New" w:hint="default"/>
    </w:rPr>
  </w:style>
  <w:style w:type="character" w:customStyle="1" w:styleId="WW8Num17z2">
    <w:name w:val="WW8Num17z2"/>
    <w:rsid w:val="005A3679"/>
    <w:rPr>
      <w:rFonts w:ascii="Wingdings" w:hAnsi="Wingdings" w:hint="default"/>
    </w:rPr>
  </w:style>
  <w:style w:type="character" w:customStyle="1" w:styleId="WW8Num18z0">
    <w:name w:val="WW8Num18z0"/>
    <w:rsid w:val="005A3679"/>
    <w:rPr>
      <w:rFonts w:ascii="Symbol" w:hAnsi="Symbol" w:hint="default"/>
    </w:rPr>
  </w:style>
  <w:style w:type="character" w:customStyle="1" w:styleId="WW8Num18z1">
    <w:name w:val="WW8Num18z1"/>
    <w:rsid w:val="005A3679"/>
    <w:rPr>
      <w:rFonts w:ascii="Courier New" w:hAnsi="Courier New" w:cs="Courier New" w:hint="default"/>
    </w:rPr>
  </w:style>
  <w:style w:type="character" w:customStyle="1" w:styleId="WW8Num18z2">
    <w:name w:val="WW8Num18z2"/>
    <w:rsid w:val="005A3679"/>
    <w:rPr>
      <w:rFonts w:ascii="Wingdings" w:hAnsi="Wingdings" w:hint="default"/>
    </w:rPr>
  </w:style>
  <w:style w:type="character" w:customStyle="1" w:styleId="WW8Num19z0">
    <w:name w:val="WW8Num19z0"/>
    <w:rsid w:val="005A3679"/>
    <w:rPr>
      <w:rFonts w:ascii="Symbol" w:hAnsi="Symbol" w:hint="default"/>
    </w:rPr>
  </w:style>
  <w:style w:type="character" w:customStyle="1" w:styleId="WW8Num19z1">
    <w:name w:val="WW8Num19z1"/>
    <w:rsid w:val="005A3679"/>
    <w:rPr>
      <w:rFonts w:ascii="Courier New" w:hAnsi="Courier New" w:cs="Courier New" w:hint="default"/>
    </w:rPr>
  </w:style>
  <w:style w:type="character" w:customStyle="1" w:styleId="WW8Num19z2">
    <w:name w:val="WW8Num19z2"/>
    <w:rsid w:val="005A3679"/>
    <w:rPr>
      <w:rFonts w:ascii="Wingdings" w:hAnsi="Wingdings" w:hint="default"/>
    </w:rPr>
  </w:style>
  <w:style w:type="character" w:customStyle="1" w:styleId="WW8Num20z0">
    <w:name w:val="WW8Num20z0"/>
    <w:rsid w:val="005A3679"/>
    <w:rPr>
      <w:rFonts w:ascii="Symbol" w:hAnsi="Symbol" w:hint="default"/>
    </w:rPr>
  </w:style>
  <w:style w:type="character" w:customStyle="1" w:styleId="WW8Num20z1">
    <w:name w:val="WW8Num20z1"/>
    <w:rsid w:val="005A3679"/>
    <w:rPr>
      <w:rFonts w:ascii="Courier New" w:hAnsi="Courier New" w:cs="Courier New" w:hint="default"/>
    </w:rPr>
  </w:style>
  <w:style w:type="character" w:customStyle="1" w:styleId="WW8Num20z2">
    <w:name w:val="WW8Num20z2"/>
    <w:rsid w:val="005A3679"/>
    <w:rPr>
      <w:rFonts w:ascii="Wingdings" w:hAnsi="Wingdings" w:hint="default"/>
    </w:rPr>
  </w:style>
  <w:style w:type="character" w:customStyle="1" w:styleId="WW8Num21z0">
    <w:name w:val="WW8Num21z0"/>
    <w:rsid w:val="005A3679"/>
    <w:rPr>
      <w:rFonts w:ascii="Symbol" w:hAnsi="Symbol" w:hint="default"/>
    </w:rPr>
  </w:style>
  <w:style w:type="character" w:customStyle="1" w:styleId="WW8Num21z1">
    <w:name w:val="WW8Num21z1"/>
    <w:rsid w:val="005A3679"/>
    <w:rPr>
      <w:rFonts w:ascii="Courier New" w:hAnsi="Courier New" w:cs="Courier New" w:hint="default"/>
    </w:rPr>
  </w:style>
  <w:style w:type="character" w:customStyle="1" w:styleId="WW8Num21z2">
    <w:name w:val="WW8Num21z2"/>
    <w:rsid w:val="005A3679"/>
    <w:rPr>
      <w:rFonts w:ascii="Wingdings" w:hAnsi="Wingdings" w:hint="default"/>
    </w:rPr>
  </w:style>
  <w:style w:type="character" w:customStyle="1" w:styleId="WW8Num22z0">
    <w:name w:val="WW8Num22z0"/>
    <w:rsid w:val="005A3679"/>
    <w:rPr>
      <w:b/>
      <w:bCs w:val="0"/>
    </w:rPr>
  </w:style>
  <w:style w:type="character" w:customStyle="1" w:styleId="WW8Num23z0">
    <w:name w:val="WW8Num23z0"/>
    <w:rsid w:val="005A3679"/>
    <w:rPr>
      <w:rFonts w:ascii="Symbol" w:hAnsi="Symbol" w:hint="default"/>
    </w:rPr>
  </w:style>
  <w:style w:type="character" w:customStyle="1" w:styleId="WW8Num23z1">
    <w:name w:val="WW8Num23z1"/>
    <w:rsid w:val="005A3679"/>
    <w:rPr>
      <w:rFonts w:ascii="Courier New" w:hAnsi="Courier New" w:cs="Courier New" w:hint="default"/>
    </w:rPr>
  </w:style>
  <w:style w:type="character" w:customStyle="1" w:styleId="WW8Num23z2">
    <w:name w:val="WW8Num23z2"/>
    <w:rsid w:val="005A3679"/>
    <w:rPr>
      <w:rFonts w:ascii="Wingdings" w:hAnsi="Wingdings" w:hint="default"/>
    </w:rPr>
  </w:style>
  <w:style w:type="character" w:customStyle="1" w:styleId="Zadanifontodlomka2">
    <w:name w:val="Zadani font odlomka2"/>
    <w:rsid w:val="005A3679"/>
  </w:style>
  <w:style w:type="character" w:customStyle="1" w:styleId="WW8Num1z1">
    <w:name w:val="WW8Num1z1"/>
    <w:rsid w:val="005A3679"/>
    <w:rPr>
      <w:rFonts w:ascii="Courier New" w:hAnsi="Courier New" w:cs="Courier New" w:hint="default"/>
    </w:rPr>
  </w:style>
  <w:style w:type="character" w:customStyle="1" w:styleId="WW8Num1z2">
    <w:name w:val="WW8Num1z2"/>
    <w:rsid w:val="005A3679"/>
    <w:rPr>
      <w:rFonts w:ascii="Wingdings" w:hAnsi="Wingdings" w:hint="default"/>
    </w:rPr>
  </w:style>
  <w:style w:type="character" w:customStyle="1" w:styleId="WW8Num1z3">
    <w:name w:val="WW8Num1z3"/>
    <w:rsid w:val="005A3679"/>
    <w:rPr>
      <w:rFonts w:ascii="Symbol" w:hAnsi="Symbol" w:hint="default"/>
    </w:rPr>
  </w:style>
  <w:style w:type="character" w:customStyle="1" w:styleId="Zadanifontodlomka1">
    <w:name w:val="Zadani font odlomka1"/>
    <w:rsid w:val="005A3679"/>
  </w:style>
  <w:style w:type="character" w:customStyle="1" w:styleId="Naslov2Char1">
    <w:name w:val="Naslov 2 Char1"/>
    <w:rsid w:val="005A3679"/>
    <w:rPr>
      <w:rFonts w:ascii="Calibri" w:hAnsi="Calibri" w:cs="Calibri" w:hint="default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Zadanifontodlomka"/>
    <w:uiPriority w:val="99"/>
    <w:rsid w:val="005A3679"/>
    <w:rPr>
      <w:rFonts w:ascii="Times New Roman" w:hAnsi="Times New Roman" w:cs="Times New Roman" w:hint="default"/>
    </w:rPr>
  </w:style>
  <w:style w:type="character" w:customStyle="1" w:styleId="PodnojeChar1">
    <w:name w:val="Podnož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customStyle="1" w:styleId="ZaglavljeChar1">
    <w:name w:val="Zaglavl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styleId="Naglaeno">
    <w:name w:val="Strong"/>
    <w:basedOn w:val="Zadanifontodlomka"/>
    <w:uiPriority w:val="22"/>
    <w:qFormat/>
    <w:rsid w:val="005A3679"/>
    <w:rPr>
      <w:b/>
      <w:bCs/>
    </w:rPr>
  </w:style>
  <w:style w:type="table" w:styleId="Reetkatablice">
    <w:name w:val="Table Grid"/>
    <w:basedOn w:val="Obinatablica"/>
    <w:uiPriority w:val="59"/>
    <w:rsid w:val="008D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14A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customStyle="1" w:styleId="xl63">
    <w:name w:val="xl63"/>
    <w:basedOn w:val="Normal"/>
    <w:rsid w:val="00C14ADA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64">
    <w:name w:val="xl64"/>
    <w:basedOn w:val="Normal"/>
    <w:rsid w:val="00C14A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65">
    <w:name w:val="xl65"/>
    <w:basedOn w:val="Normal"/>
    <w:rsid w:val="00C14A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66">
    <w:name w:val="xl66"/>
    <w:basedOn w:val="Normal"/>
    <w:rsid w:val="00C14A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67">
    <w:name w:val="xl67"/>
    <w:basedOn w:val="Normal"/>
    <w:rsid w:val="00C14ADA"/>
    <w:pPr>
      <w:widowControl/>
      <w:shd w:val="clear" w:color="9999FF" w:fill="9999FF"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68">
    <w:name w:val="xl68"/>
    <w:basedOn w:val="Normal"/>
    <w:rsid w:val="00C14ADA"/>
    <w:pPr>
      <w:widowControl/>
      <w:shd w:val="clear" w:color="9999FF" w:fill="9999FF"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69">
    <w:name w:val="xl69"/>
    <w:basedOn w:val="Normal"/>
    <w:rsid w:val="00C14ADA"/>
    <w:pPr>
      <w:widowControl/>
      <w:shd w:val="clear" w:color="CCCCFF" w:fill="CCCCFF"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70">
    <w:name w:val="xl70"/>
    <w:basedOn w:val="Normal"/>
    <w:rsid w:val="00C14ADA"/>
    <w:pPr>
      <w:widowControl/>
      <w:shd w:val="clear" w:color="CCCCFF" w:fill="CCCCFF"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71">
    <w:name w:val="xl71"/>
    <w:basedOn w:val="Normal"/>
    <w:rsid w:val="00C14ADA"/>
    <w:pPr>
      <w:widowControl/>
      <w:shd w:val="clear" w:color="000080" w:fill="000080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72">
    <w:name w:val="xl72"/>
    <w:basedOn w:val="Normal"/>
    <w:rsid w:val="00C14ADA"/>
    <w:pPr>
      <w:widowControl/>
      <w:shd w:val="clear" w:color="000080" w:fill="000080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73">
    <w:name w:val="xl73"/>
    <w:basedOn w:val="Normal"/>
    <w:rsid w:val="00C14ADA"/>
    <w:pPr>
      <w:widowControl/>
      <w:shd w:val="clear" w:color="0000FF" w:fill="0000FF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74">
    <w:name w:val="xl74"/>
    <w:basedOn w:val="Normal"/>
    <w:rsid w:val="00C14ADA"/>
    <w:pPr>
      <w:widowControl/>
      <w:shd w:val="clear" w:color="0000FF" w:fill="0000FF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75">
    <w:name w:val="xl75"/>
    <w:basedOn w:val="Normal"/>
    <w:rsid w:val="00C14ADA"/>
    <w:pPr>
      <w:widowControl/>
      <w:shd w:val="clear" w:color="FFFF99" w:fill="FFFF99"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76">
    <w:name w:val="xl76"/>
    <w:basedOn w:val="Normal"/>
    <w:rsid w:val="00C14ADA"/>
    <w:pPr>
      <w:widowControl/>
      <w:shd w:val="clear" w:color="FFFF99" w:fill="FFFF99"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77">
    <w:name w:val="xl77"/>
    <w:basedOn w:val="Normal"/>
    <w:rsid w:val="00C14ADA"/>
    <w:pPr>
      <w:widowControl/>
      <w:shd w:val="clear" w:color="3366FF" w:fill="3366FF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78">
    <w:name w:val="xl78"/>
    <w:basedOn w:val="Normal"/>
    <w:rsid w:val="00C14ADA"/>
    <w:pPr>
      <w:widowControl/>
      <w:shd w:val="clear" w:color="3366FF" w:fill="3366FF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79">
    <w:name w:val="xl79"/>
    <w:basedOn w:val="Normal"/>
    <w:rsid w:val="00C14ADA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28"/>
      <w:szCs w:val="28"/>
      <w:lang w:eastAsia="hr-H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7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qFormat/>
    <w:rsid w:val="005A3679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lang w:eastAsia="hr-HR" w:bidi="ar-SA"/>
    </w:rPr>
  </w:style>
  <w:style w:type="paragraph" w:styleId="Naslov2">
    <w:name w:val="heading 2"/>
    <w:basedOn w:val="Normal"/>
    <w:next w:val="Normal"/>
    <w:link w:val="Naslov2Char"/>
    <w:unhideWhenUsed/>
    <w:qFormat/>
    <w:rsid w:val="005A367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A3679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 w:bidi="ar-SA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A367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5A3679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A367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Naslov7">
    <w:name w:val="heading 7"/>
    <w:basedOn w:val="Normal"/>
    <w:next w:val="Normal"/>
    <w:link w:val="Naslov7Char"/>
    <w:uiPriority w:val="99"/>
    <w:semiHidden/>
    <w:unhideWhenUsed/>
    <w:qFormat/>
    <w:rsid w:val="005A3679"/>
    <w:pPr>
      <w:keepNext/>
      <w:widowControl/>
      <w:outlineLvl w:val="6"/>
    </w:pPr>
    <w:rPr>
      <w:rFonts w:eastAsia="Times New Roman" w:cs="Calibri"/>
      <w:b/>
      <w:color w:val="FF9900"/>
      <w:kern w:val="0"/>
      <w:sz w:val="28"/>
      <w:szCs w:val="22"/>
      <w:lang w:eastAsia="ar-SA" w:bidi="ar-SA"/>
    </w:rPr>
  </w:style>
  <w:style w:type="paragraph" w:styleId="Naslov8">
    <w:name w:val="heading 8"/>
    <w:basedOn w:val="Normal"/>
    <w:next w:val="Normal"/>
    <w:link w:val="Naslov8Char"/>
    <w:uiPriority w:val="99"/>
    <w:semiHidden/>
    <w:unhideWhenUsed/>
    <w:qFormat/>
    <w:rsid w:val="005A3679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Naslov9">
    <w:name w:val="heading 9"/>
    <w:basedOn w:val="Normal"/>
    <w:next w:val="Normal"/>
    <w:link w:val="Naslov9Char"/>
    <w:uiPriority w:val="99"/>
    <w:semiHidden/>
    <w:unhideWhenUsed/>
    <w:qFormat/>
    <w:rsid w:val="005A3679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A367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5A367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Naslov3Char">
    <w:name w:val="Naslov 3 Char"/>
    <w:basedOn w:val="Zadanifontodlomka"/>
    <w:link w:val="Naslov3"/>
    <w:semiHidden/>
    <w:rsid w:val="005A3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semiHidden/>
    <w:rsid w:val="005A367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customStyle="1" w:styleId="Naslov5Char">
    <w:name w:val="Naslov 5 Char"/>
    <w:basedOn w:val="Zadanifontodlomka"/>
    <w:link w:val="Naslov5"/>
    <w:semiHidden/>
    <w:rsid w:val="005A3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rsid w:val="005A3679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19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96D"/>
    <w:rPr>
      <w:rFonts w:ascii="Tahoma" w:hAnsi="Tahoma" w:cs="Tahoma"/>
      <w:sz w:val="16"/>
      <w:szCs w:val="16"/>
    </w:rPr>
  </w:style>
  <w:style w:type="character" w:customStyle="1" w:styleId="Naslov6Char">
    <w:name w:val="Naslov 6 Char"/>
    <w:basedOn w:val="Zadanifontodlomka"/>
    <w:link w:val="Naslov6"/>
    <w:semiHidden/>
    <w:rsid w:val="005A3679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Naslov7Char">
    <w:name w:val="Naslov 7 Char"/>
    <w:basedOn w:val="Zadanifontodlomka"/>
    <w:link w:val="Naslov7"/>
    <w:uiPriority w:val="99"/>
    <w:semiHidden/>
    <w:rsid w:val="005A3679"/>
    <w:rPr>
      <w:rFonts w:ascii="Times New Roman" w:eastAsia="Times New Roman" w:hAnsi="Times New Roman" w:cs="Calibri"/>
      <w:b/>
      <w:color w:val="FF9900"/>
      <w:sz w:val="28"/>
      <w:lang w:eastAsia="ar-SA"/>
    </w:rPr>
  </w:style>
  <w:style w:type="character" w:customStyle="1" w:styleId="Naslov9Char">
    <w:name w:val="Naslov 9 Char"/>
    <w:basedOn w:val="Zadanifontodlomka"/>
    <w:link w:val="Naslov9"/>
    <w:uiPriority w:val="99"/>
    <w:semiHidden/>
    <w:rsid w:val="005A3679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5A367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3679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5A36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5A3679"/>
    <w:pPr>
      <w:spacing w:after="100"/>
    </w:pPr>
    <w:rPr>
      <w:szCs w:val="21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5A3679"/>
    <w:pPr>
      <w:spacing w:after="100"/>
      <w:ind w:left="240"/>
    </w:pPr>
    <w:rPr>
      <w:szCs w:val="21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5A3679"/>
    <w:pPr>
      <w:spacing w:after="100"/>
      <w:ind w:left="480"/>
    </w:pPr>
    <w:rPr>
      <w:szCs w:val="21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720"/>
    </w:pPr>
    <w:rPr>
      <w:rFonts w:ascii="Arial" w:hAnsi="Arial" w:cs="Arial"/>
      <w:noProof/>
      <w:szCs w:val="21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960"/>
    </w:pPr>
    <w:rPr>
      <w:rFonts w:ascii="Arial" w:hAnsi="Arial" w:cs="Arial"/>
      <w:b/>
      <w:bCs/>
      <w:noProof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uiPriority w:val="99"/>
    <w:unhideWhenUsed/>
    <w:qFormat/>
    <w:rsid w:val="005A3679"/>
    <w:pPr>
      <w:spacing w:after="120"/>
    </w:pPr>
    <w:rPr>
      <w:rFonts w:eastAsia="Lucida Sans Unicod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A367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slov">
    <w:name w:val="Title"/>
    <w:basedOn w:val="Normal"/>
    <w:next w:val="Normal"/>
    <w:link w:val="NaslovChar"/>
    <w:uiPriority w:val="10"/>
    <w:qFormat/>
    <w:rsid w:val="005A3679"/>
    <w:pPr>
      <w:widowControl/>
      <w:suppressAutoHyphens w:val="0"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5A3679"/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A3679"/>
    <w:pPr>
      <w:spacing w:after="120"/>
      <w:ind w:left="283"/>
    </w:pPr>
    <w:rPr>
      <w:szCs w:val="21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A3679"/>
    <w:rPr>
      <w:rFonts w:ascii="Arial" w:eastAsia="Times New Roman" w:hAnsi="Arial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A3679"/>
    <w:pPr>
      <w:widowControl/>
      <w:suppressAutoHyphens w:val="0"/>
      <w:spacing w:after="120" w:line="480" w:lineRule="auto"/>
    </w:pPr>
    <w:rPr>
      <w:rFonts w:ascii="Arial" w:eastAsia="Times New Roman" w:hAnsi="Arial" w:cs="Times New Roman"/>
      <w:kern w:val="0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3679"/>
    <w:rPr>
      <w:rFonts w:ascii="Calibri" w:hAnsi="Calibri"/>
      <w:szCs w:val="21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5A367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A3679"/>
    <w:rPr>
      <w:rFonts w:ascii="Times New Roman" w:eastAsiaTheme="minorEastAsia" w:hAnsi="Times New Roman" w:cs="Times New Roman"/>
    </w:rPr>
  </w:style>
  <w:style w:type="paragraph" w:styleId="Bezproreda">
    <w:name w:val="No Spacing"/>
    <w:link w:val="BezproredaChar"/>
    <w:uiPriority w:val="1"/>
    <w:qFormat/>
    <w:rsid w:val="005A367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Odlomakpopisa">
    <w:name w:val="List Paragraph"/>
    <w:basedOn w:val="Normal"/>
    <w:uiPriority w:val="34"/>
    <w:qFormat/>
    <w:rsid w:val="005A3679"/>
    <w:pPr>
      <w:ind w:left="720"/>
      <w:contextualSpacing/>
    </w:pPr>
    <w:rPr>
      <w:szCs w:val="21"/>
    </w:rPr>
  </w:style>
  <w:style w:type="paragraph" w:customStyle="1" w:styleId="Index">
    <w:name w:val="Index"/>
    <w:basedOn w:val="Normal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Odlomakpopisa1">
    <w:name w:val="Odlomak popisa1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Default">
    <w:name w:val="Default"/>
    <w:uiPriority w:val="99"/>
    <w:rsid w:val="005A367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customStyle="1" w:styleId="Odlomakpopisa2">
    <w:name w:val="Odlomak popisa2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Naslov10">
    <w:name w:val="Naslov1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Opis">
    <w:name w:val="Opis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ks">
    <w:name w:val="Indeks"/>
    <w:basedOn w:val="Normal"/>
    <w:uiPriority w:val="99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Heading">
    <w:name w:val="Heading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Caption1">
    <w:name w:val="Caption1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TableContents">
    <w:name w:val="Table Contents"/>
    <w:basedOn w:val="Normal"/>
    <w:uiPriority w:val="99"/>
    <w:rsid w:val="005A3679"/>
    <w:pPr>
      <w:widowControl/>
      <w:suppressLineNumbers/>
    </w:pPr>
    <w:rPr>
      <w:rFonts w:eastAsia="Times New Roman" w:cs="Calibri"/>
      <w:kern w:val="0"/>
      <w:lang w:eastAsia="ar-SA" w:bidi="ar-SA"/>
    </w:rPr>
  </w:style>
  <w:style w:type="paragraph" w:customStyle="1" w:styleId="TableHeading">
    <w:name w:val="Table Heading"/>
    <w:basedOn w:val="TableContents"/>
    <w:uiPriority w:val="99"/>
    <w:rsid w:val="005A367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ListParagraph1">
    <w:name w:val="List Paragraph1"/>
    <w:basedOn w:val="Normal"/>
    <w:uiPriority w:val="99"/>
    <w:rsid w:val="005A3679"/>
    <w:pPr>
      <w:ind w:left="720"/>
    </w:pPr>
    <w:rPr>
      <w:rFonts w:eastAsia="Lucida Sans Unicode" w:cs="Calibri"/>
      <w:lang w:eastAsia="ar-SA" w:bidi="ar-SA"/>
    </w:rPr>
  </w:style>
  <w:style w:type="paragraph" w:customStyle="1" w:styleId="Sadrajitablice">
    <w:name w:val="Sadržaji tablice"/>
    <w:basedOn w:val="Normal"/>
    <w:uiPriority w:val="99"/>
    <w:rsid w:val="005A3679"/>
    <w:pPr>
      <w:suppressLineNumbers/>
    </w:pPr>
    <w:rPr>
      <w:rFonts w:eastAsia="Lucida Sans Unicode" w:cs="Calibri"/>
      <w:lang w:eastAsia="ar-SA" w:bidi="ar-SA"/>
    </w:rPr>
  </w:style>
  <w:style w:type="paragraph" w:customStyle="1" w:styleId="Naslovtablice">
    <w:name w:val="Naslov tablice"/>
    <w:basedOn w:val="Sadrajitablice"/>
    <w:uiPriority w:val="99"/>
    <w:rsid w:val="005A3679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Normal1">
    <w:name w:val="Normal1"/>
    <w:uiPriority w:val="99"/>
    <w:rsid w:val="005A367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t">
    <w:name w:val="st"/>
    <w:basedOn w:val="Zadanifontodlomka"/>
    <w:rsid w:val="005A3679"/>
  </w:style>
  <w:style w:type="character" w:customStyle="1" w:styleId="WW8Num1z0">
    <w:name w:val="WW8Num1z0"/>
    <w:rsid w:val="005A3679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5A3679"/>
    <w:rPr>
      <w:rFonts w:ascii="Symbol" w:hAnsi="Symbol" w:hint="default"/>
    </w:rPr>
  </w:style>
  <w:style w:type="character" w:customStyle="1" w:styleId="WW8Num2z1">
    <w:name w:val="WW8Num2z1"/>
    <w:rsid w:val="005A3679"/>
    <w:rPr>
      <w:rFonts w:ascii="Courier New" w:hAnsi="Courier New" w:cs="Courier New" w:hint="default"/>
    </w:rPr>
  </w:style>
  <w:style w:type="character" w:customStyle="1" w:styleId="WW8Num2z2">
    <w:name w:val="WW8Num2z2"/>
    <w:rsid w:val="005A3679"/>
    <w:rPr>
      <w:rFonts w:ascii="Wingdings" w:hAnsi="Wingdings" w:hint="default"/>
    </w:rPr>
  </w:style>
  <w:style w:type="character" w:customStyle="1" w:styleId="WW8Num3z0">
    <w:name w:val="WW8Num3z0"/>
    <w:rsid w:val="005A3679"/>
    <w:rPr>
      <w:b/>
      <w:bCs w:val="0"/>
    </w:rPr>
  </w:style>
  <w:style w:type="character" w:customStyle="1" w:styleId="WW8Num4z0">
    <w:name w:val="WW8Num4z0"/>
    <w:rsid w:val="005A3679"/>
    <w:rPr>
      <w:rFonts w:ascii="Symbol" w:hAnsi="Symbol" w:hint="default"/>
    </w:rPr>
  </w:style>
  <w:style w:type="character" w:customStyle="1" w:styleId="WW8Num4z1">
    <w:name w:val="WW8Num4z1"/>
    <w:rsid w:val="005A3679"/>
    <w:rPr>
      <w:rFonts w:ascii="Courier New" w:hAnsi="Courier New" w:cs="Courier New" w:hint="default"/>
    </w:rPr>
  </w:style>
  <w:style w:type="character" w:customStyle="1" w:styleId="WW8Num4z2">
    <w:name w:val="WW8Num4z2"/>
    <w:rsid w:val="005A3679"/>
    <w:rPr>
      <w:rFonts w:ascii="Wingdings" w:hAnsi="Wingdings" w:hint="default"/>
    </w:rPr>
  </w:style>
  <w:style w:type="character" w:customStyle="1" w:styleId="WW8Num5z0">
    <w:name w:val="WW8Num5z0"/>
    <w:rsid w:val="005A3679"/>
    <w:rPr>
      <w:rFonts w:ascii="Symbol" w:hAnsi="Symbol" w:hint="default"/>
    </w:rPr>
  </w:style>
  <w:style w:type="character" w:customStyle="1" w:styleId="WW8Num5z1">
    <w:name w:val="WW8Num5z1"/>
    <w:rsid w:val="005A3679"/>
    <w:rPr>
      <w:rFonts w:ascii="Courier New" w:hAnsi="Courier New" w:cs="Courier New" w:hint="default"/>
    </w:rPr>
  </w:style>
  <w:style w:type="character" w:customStyle="1" w:styleId="WW8Num5z2">
    <w:name w:val="WW8Num5z2"/>
    <w:rsid w:val="005A3679"/>
    <w:rPr>
      <w:rFonts w:ascii="Wingdings" w:hAnsi="Wingdings" w:hint="default"/>
    </w:rPr>
  </w:style>
  <w:style w:type="character" w:customStyle="1" w:styleId="WW8Num6z0">
    <w:name w:val="WW8Num6z0"/>
    <w:rsid w:val="005A3679"/>
    <w:rPr>
      <w:rFonts w:ascii="Symbol" w:hAnsi="Symbol" w:hint="default"/>
    </w:rPr>
  </w:style>
  <w:style w:type="character" w:customStyle="1" w:styleId="WW8Num6z1">
    <w:name w:val="WW8Num6z1"/>
    <w:rsid w:val="005A3679"/>
    <w:rPr>
      <w:rFonts w:ascii="Courier New" w:hAnsi="Courier New" w:cs="Courier New" w:hint="default"/>
    </w:rPr>
  </w:style>
  <w:style w:type="character" w:customStyle="1" w:styleId="WW8Num6z2">
    <w:name w:val="WW8Num6z2"/>
    <w:rsid w:val="005A3679"/>
    <w:rPr>
      <w:rFonts w:ascii="Wingdings" w:hAnsi="Wingdings" w:hint="default"/>
    </w:rPr>
  </w:style>
  <w:style w:type="character" w:customStyle="1" w:styleId="WW8Num7z0">
    <w:name w:val="WW8Num7z0"/>
    <w:rsid w:val="005A3679"/>
    <w:rPr>
      <w:rFonts w:ascii="Symbol" w:hAnsi="Symbol" w:hint="default"/>
    </w:rPr>
  </w:style>
  <w:style w:type="character" w:customStyle="1" w:styleId="WW8Num7z1">
    <w:name w:val="WW8Num7z1"/>
    <w:rsid w:val="005A3679"/>
    <w:rPr>
      <w:rFonts w:ascii="Courier New" w:hAnsi="Courier New" w:cs="Courier New" w:hint="default"/>
    </w:rPr>
  </w:style>
  <w:style w:type="character" w:customStyle="1" w:styleId="WW8Num7z2">
    <w:name w:val="WW8Num7z2"/>
    <w:rsid w:val="005A3679"/>
    <w:rPr>
      <w:rFonts w:ascii="Wingdings" w:hAnsi="Wingdings" w:hint="default"/>
    </w:rPr>
  </w:style>
  <w:style w:type="character" w:customStyle="1" w:styleId="WW8Num8z0">
    <w:name w:val="WW8Num8z0"/>
    <w:rsid w:val="005A3679"/>
    <w:rPr>
      <w:rFonts w:ascii="Symbol" w:hAnsi="Symbol" w:hint="default"/>
    </w:rPr>
  </w:style>
  <w:style w:type="character" w:customStyle="1" w:styleId="WW8Num8z1">
    <w:name w:val="WW8Num8z1"/>
    <w:rsid w:val="005A3679"/>
    <w:rPr>
      <w:rFonts w:ascii="Courier New" w:hAnsi="Courier New" w:cs="Courier New" w:hint="default"/>
    </w:rPr>
  </w:style>
  <w:style w:type="character" w:customStyle="1" w:styleId="WW8Num8z2">
    <w:name w:val="WW8Num8z2"/>
    <w:rsid w:val="005A3679"/>
    <w:rPr>
      <w:rFonts w:ascii="Wingdings" w:hAnsi="Wingdings" w:hint="default"/>
    </w:rPr>
  </w:style>
  <w:style w:type="character" w:customStyle="1" w:styleId="WW8Num9z0">
    <w:name w:val="WW8Num9z0"/>
    <w:rsid w:val="005A3679"/>
    <w:rPr>
      <w:rFonts w:ascii="Symbol" w:hAnsi="Symbol" w:hint="default"/>
    </w:rPr>
  </w:style>
  <w:style w:type="character" w:customStyle="1" w:styleId="WW8Num9z1">
    <w:name w:val="WW8Num9z1"/>
    <w:rsid w:val="005A3679"/>
    <w:rPr>
      <w:rFonts w:ascii="Courier New" w:hAnsi="Courier New" w:cs="Courier New" w:hint="default"/>
    </w:rPr>
  </w:style>
  <w:style w:type="character" w:customStyle="1" w:styleId="WW8Num9z2">
    <w:name w:val="WW8Num9z2"/>
    <w:rsid w:val="005A3679"/>
    <w:rPr>
      <w:rFonts w:ascii="Wingdings" w:hAnsi="Wingdings" w:hint="default"/>
    </w:rPr>
  </w:style>
  <w:style w:type="character" w:customStyle="1" w:styleId="WW8Num10z0">
    <w:name w:val="WW8Num10z0"/>
    <w:rsid w:val="005A3679"/>
    <w:rPr>
      <w:b/>
      <w:bCs w:val="0"/>
    </w:rPr>
  </w:style>
  <w:style w:type="character" w:customStyle="1" w:styleId="WW8Num11z0">
    <w:name w:val="WW8Num11z0"/>
    <w:rsid w:val="005A3679"/>
    <w:rPr>
      <w:rFonts w:ascii="Symbol" w:hAnsi="Symbol" w:hint="default"/>
    </w:rPr>
  </w:style>
  <w:style w:type="character" w:customStyle="1" w:styleId="WW8Num11z1">
    <w:name w:val="WW8Num11z1"/>
    <w:rsid w:val="005A3679"/>
    <w:rPr>
      <w:rFonts w:ascii="Courier New" w:hAnsi="Courier New" w:cs="Courier New" w:hint="default"/>
    </w:rPr>
  </w:style>
  <w:style w:type="character" w:customStyle="1" w:styleId="WW8Num11z2">
    <w:name w:val="WW8Num11z2"/>
    <w:rsid w:val="005A3679"/>
    <w:rPr>
      <w:rFonts w:ascii="Wingdings" w:hAnsi="Wingdings" w:hint="default"/>
    </w:rPr>
  </w:style>
  <w:style w:type="character" w:customStyle="1" w:styleId="WW8Num12z0">
    <w:name w:val="WW8Num12z0"/>
    <w:rsid w:val="005A3679"/>
    <w:rPr>
      <w:rFonts w:ascii="Symbol" w:hAnsi="Symbol" w:hint="default"/>
    </w:rPr>
  </w:style>
  <w:style w:type="character" w:customStyle="1" w:styleId="WW8Num12z1">
    <w:name w:val="WW8Num12z1"/>
    <w:rsid w:val="005A3679"/>
    <w:rPr>
      <w:rFonts w:ascii="Courier New" w:hAnsi="Courier New" w:cs="Courier New" w:hint="default"/>
    </w:rPr>
  </w:style>
  <w:style w:type="character" w:customStyle="1" w:styleId="WW8Num12z2">
    <w:name w:val="WW8Num12z2"/>
    <w:rsid w:val="005A3679"/>
    <w:rPr>
      <w:rFonts w:ascii="Wingdings" w:hAnsi="Wingdings" w:hint="default"/>
    </w:rPr>
  </w:style>
  <w:style w:type="character" w:customStyle="1" w:styleId="WW8Num13z0">
    <w:name w:val="WW8Num13z0"/>
    <w:rsid w:val="005A3679"/>
    <w:rPr>
      <w:rFonts w:ascii="Symbol" w:hAnsi="Symbol" w:hint="default"/>
    </w:rPr>
  </w:style>
  <w:style w:type="character" w:customStyle="1" w:styleId="WW8Num13z1">
    <w:name w:val="WW8Num13z1"/>
    <w:rsid w:val="005A3679"/>
    <w:rPr>
      <w:rFonts w:ascii="Courier New" w:hAnsi="Courier New" w:cs="Courier New" w:hint="default"/>
    </w:rPr>
  </w:style>
  <w:style w:type="character" w:customStyle="1" w:styleId="WW8Num13z2">
    <w:name w:val="WW8Num13z2"/>
    <w:rsid w:val="005A3679"/>
    <w:rPr>
      <w:rFonts w:ascii="Wingdings" w:hAnsi="Wingdings" w:hint="default"/>
    </w:rPr>
  </w:style>
  <w:style w:type="character" w:customStyle="1" w:styleId="WW8Num14z0">
    <w:name w:val="WW8Num14z0"/>
    <w:rsid w:val="005A3679"/>
    <w:rPr>
      <w:rFonts w:ascii="Symbol" w:hAnsi="Symbol" w:hint="default"/>
    </w:rPr>
  </w:style>
  <w:style w:type="character" w:customStyle="1" w:styleId="WW8Num14z1">
    <w:name w:val="WW8Num14z1"/>
    <w:rsid w:val="005A3679"/>
    <w:rPr>
      <w:rFonts w:ascii="Times New Roman" w:hAnsi="Times New Roman" w:cs="Times New Roman" w:hint="default"/>
    </w:rPr>
  </w:style>
  <w:style w:type="character" w:customStyle="1" w:styleId="WW8Num14z2">
    <w:name w:val="WW8Num14z2"/>
    <w:rsid w:val="005A3679"/>
    <w:rPr>
      <w:rFonts w:ascii="Wingdings" w:hAnsi="Wingdings" w:hint="default"/>
    </w:rPr>
  </w:style>
  <w:style w:type="character" w:customStyle="1" w:styleId="WW8Num14z4">
    <w:name w:val="WW8Num14z4"/>
    <w:rsid w:val="005A3679"/>
    <w:rPr>
      <w:rFonts w:ascii="Courier New" w:hAnsi="Courier New" w:cs="Courier New" w:hint="default"/>
    </w:rPr>
  </w:style>
  <w:style w:type="character" w:customStyle="1" w:styleId="WW8Num15z0">
    <w:name w:val="WW8Num15z0"/>
    <w:rsid w:val="005A3679"/>
    <w:rPr>
      <w:rFonts w:ascii="Symbol" w:hAnsi="Symbol" w:hint="default"/>
    </w:rPr>
  </w:style>
  <w:style w:type="character" w:customStyle="1" w:styleId="WW8Num15z1">
    <w:name w:val="WW8Num15z1"/>
    <w:rsid w:val="005A3679"/>
    <w:rPr>
      <w:rFonts w:ascii="Courier New" w:hAnsi="Courier New" w:cs="Courier New" w:hint="default"/>
    </w:rPr>
  </w:style>
  <w:style w:type="character" w:customStyle="1" w:styleId="WW8Num15z2">
    <w:name w:val="WW8Num15z2"/>
    <w:rsid w:val="005A3679"/>
    <w:rPr>
      <w:rFonts w:ascii="Wingdings" w:hAnsi="Wingdings" w:hint="default"/>
    </w:rPr>
  </w:style>
  <w:style w:type="character" w:customStyle="1" w:styleId="WW8Num17z0">
    <w:name w:val="WW8Num17z0"/>
    <w:rsid w:val="005A3679"/>
    <w:rPr>
      <w:rFonts w:ascii="Symbol" w:hAnsi="Symbol" w:hint="default"/>
    </w:rPr>
  </w:style>
  <w:style w:type="character" w:customStyle="1" w:styleId="WW8Num17z1">
    <w:name w:val="WW8Num17z1"/>
    <w:rsid w:val="005A3679"/>
    <w:rPr>
      <w:rFonts w:ascii="Courier New" w:hAnsi="Courier New" w:cs="Courier New" w:hint="default"/>
    </w:rPr>
  </w:style>
  <w:style w:type="character" w:customStyle="1" w:styleId="WW8Num17z2">
    <w:name w:val="WW8Num17z2"/>
    <w:rsid w:val="005A3679"/>
    <w:rPr>
      <w:rFonts w:ascii="Wingdings" w:hAnsi="Wingdings" w:hint="default"/>
    </w:rPr>
  </w:style>
  <w:style w:type="character" w:customStyle="1" w:styleId="WW8Num18z0">
    <w:name w:val="WW8Num18z0"/>
    <w:rsid w:val="005A3679"/>
    <w:rPr>
      <w:rFonts w:ascii="Symbol" w:hAnsi="Symbol" w:hint="default"/>
    </w:rPr>
  </w:style>
  <w:style w:type="character" w:customStyle="1" w:styleId="WW8Num18z1">
    <w:name w:val="WW8Num18z1"/>
    <w:rsid w:val="005A3679"/>
    <w:rPr>
      <w:rFonts w:ascii="Courier New" w:hAnsi="Courier New" w:cs="Courier New" w:hint="default"/>
    </w:rPr>
  </w:style>
  <w:style w:type="character" w:customStyle="1" w:styleId="WW8Num18z2">
    <w:name w:val="WW8Num18z2"/>
    <w:rsid w:val="005A3679"/>
    <w:rPr>
      <w:rFonts w:ascii="Wingdings" w:hAnsi="Wingdings" w:hint="default"/>
    </w:rPr>
  </w:style>
  <w:style w:type="character" w:customStyle="1" w:styleId="WW8Num19z0">
    <w:name w:val="WW8Num19z0"/>
    <w:rsid w:val="005A3679"/>
    <w:rPr>
      <w:rFonts w:ascii="Symbol" w:hAnsi="Symbol" w:hint="default"/>
    </w:rPr>
  </w:style>
  <w:style w:type="character" w:customStyle="1" w:styleId="WW8Num19z1">
    <w:name w:val="WW8Num19z1"/>
    <w:rsid w:val="005A3679"/>
    <w:rPr>
      <w:rFonts w:ascii="Courier New" w:hAnsi="Courier New" w:cs="Courier New" w:hint="default"/>
    </w:rPr>
  </w:style>
  <w:style w:type="character" w:customStyle="1" w:styleId="WW8Num19z2">
    <w:name w:val="WW8Num19z2"/>
    <w:rsid w:val="005A3679"/>
    <w:rPr>
      <w:rFonts w:ascii="Wingdings" w:hAnsi="Wingdings" w:hint="default"/>
    </w:rPr>
  </w:style>
  <w:style w:type="character" w:customStyle="1" w:styleId="WW8Num20z0">
    <w:name w:val="WW8Num20z0"/>
    <w:rsid w:val="005A3679"/>
    <w:rPr>
      <w:rFonts w:ascii="Symbol" w:hAnsi="Symbol" w:hint="default"/>
    </w:rPr>
  </w:style>
  <w:style w:type="character" w:customStyle="1" w:styleId="WW8Num20z1">
    <w:name w:val="WW8Num20z1"/>
    <w:rsid w:val="005A3679"/>
    <w:rPr>
      <w:rFonts w:ascii="Courier New" w:hAnsi="Courier New" w:cs="Courier New" w:hint="default"/>
    </w:rPr>
  </w:style>
  <w:style w:type="character" w:customStyle="1" w:styleId="WW8Num20z2">
    <w:name w:val="WW8Num20z2"/>
    <w:rsid w:val="005A3679"/>
    <w:rPr>
      <w:rFonts w:ascii="Wingdings" w:hAnsi="Wingdings" w:hint="default"/>
    </w:rPr>
  </w:style>
  <w:style w:type="character" w:customStyle="1" w:styleId="WW8Num21z0">
    <w:name w:val="WW8Num21z0"/>
    <w:rsid w:val="005A3679"/>
    <w:rPr>
      <w:rFonts w:ascii="Symbol" w:hAnsi="Symbol" w:hint="default"/>
    </w:rPr>
  </w:style>
  <w:style w:type="character" w:customStyle="1" w:styleId="WW8Num21z1">
    <w:name w:val="WW8Num21z1"/>
    <w:rsid w:val="005A3679"/>
    <w:rPr>
      <w:rFonts w:ascii="Courier New" w:hAnsi="Courier New" w:cs="Courier New" w:hint="default"/>
    </w:rPr>
  </w:style>
  <w:style w:type="character" w:customStyle="1" w:styleId="WW8Num21z2">
    <w:name w:val="WW8Num21z2"/>
    <w:rsid w:val="005A3679"/>
    <w:rPr>
      <w:rFonts w:ascii="Wingdings" w:hAnsi="Wingdings" w:hint="default"/>
    </w:rPr>
  </w:style>
  <w:style w:type="character" w:customStyle="1" w:styleId="WW8Num22z0">
    <w:name w:val="WW8Num22z0"/>
    <w:rsid w:val="005A3679"/>
    <w:rPr>
      <w:b/>
      <w:bCs w:val="0"/>
    </w:rPr>
  </w:style>
  <w:style w:type="character" w:customStyle="1" w:styleId="WW8Num23z0">
    <w:name w:val="WW8Num23z0"/>
    <w:rsid w:val="005A3679"/>
    <w:rPr>
      <w:rFonts w:ascii="Symbol" w:hAnsi="Symbol" w:hint="default"/>
    </w:rPr>
  </w:style>
  <w:style w:type="character" w:customStyle="1" w:styleId="WW8Num23z1">
    <w:name w:val="WW8Num23z1"/>
    <w:rsid w:val="005A3679"/>
    <w:rPr>
      <w:rFonts w:ascii="Courier New" w:hAnsi="Courier New" w:cs="Courier New" w:hint="default"/>
    </w:rPr>
  </w:style>
  <w:style w:type="character" w:customStyle="1" w:styleId="WW8Num23z2">
    <w:name w:val="WW8Num23z2"/>
    <w:rsid w:val="005A3679"/>
    <w:rPr>
      <w:rFonts w:ascii="Wingdings" w:hAnsi="Wingdings" w:hint="default"/>
    </w:rPr>
  </w:style>
  <w:style w:type="character" w:customStyle="1" w:styleId="Zadanifontodlomka2">
    <w:name w:val="Zadani font odlomka2"/>
    <w:rsid w:val="005A3679"/>
  </w:style>
  <w:style w:type="character" w:customStyle="1" w:styleId="WW8Num1z1">
    <w:name w:val="WW8Num1z1"/>
    <w:rsid w:val="005A3679"/>
    <w:rPr>
      <w:rFonts w:ascii="Courier New" w:hAnsi="Courier New" w:cs="Courier New" w:hint="default"/>
    </w:rPr>
  </w:style>
  <w:style w:type="character" w:customStyle="1" w:styleId="WW8Num1z2">
    <w:name w:val="WW8Num1z2"/>
    <w:rsid w:val="005A3679"/>
    <w:rPr>
      <w:rFonts w:ascii="Wingdings" w:hAnsi="Wingdings" w:hint="default"/>
    </w:rPr>
  </w:style>
  <w:style w:type="character" w:customStyle="1" w:styleId="WW8Num1z3">
    <w:name w:val="WW8Num1z3"/>
    <w:rsid w:val="005A3679"/>
    <w:rPr>
      <w:rFonts w:ascii="Symbol" w:hAnsi="Symbol" w:hint="default"/>
    </w:rPr>
  </w:style>
  <w:style w:type="character" w:customStyle="1" w:styleId="Zadanifontodlomka1">
    <w:name w:val="Zadani font odlomka1"/>
    <w:rsid w:val="005A3679"/>
  </w:style>
  <w:style w:type="character" w:customStyle="1" w:styleId="Naslov2Char1">
    <w:name w:val="Naslov 2 Char1"/>
    <w:rsid w:val="005A3679"/>
    <w:rPr>
      <w:rFonts w:ascii="Calibri" w:hAnsi="Calibri" w:cs="Calibri" w:hint="default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Zadanifontodlomka"/>
    <w:uiPriority w:val="99"/>
    <w:rsid w:val="005A3679"/>
    <w:rPr>
      <w:rFonts w:ascii="Times New Roman" w:hAnsi="Times New Roman" w:cs="Times New Roman" w:hint="default"/>
    </w:rPr>
  </w:style>
  <w:style w:type="character" w:customStyle="1" w:styleId="PodnojeChar1">
    <w:name w:val="Podnož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customStyle="1" w:styleId="ZaglavljeChar1">
    <w:name w:val="Zaglavl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styleId="Naglaeno">
    <w:name w:val="Strong"/>
    <w:basedOn w:val="Zadanifontodlomka"/>
    <w:uiPriority w:val="22"/>
    <w:qFormat/>
    <w:rsid w:val="005A3679"/>
    <w:rPr>
      <w:b/>
      <w:bCs/>
    </w:rPr>
  </w:style>
  <w:style w:type="table" w:styleId="Reetkatablice">
    <w:name w:val="Table Grid"/>
    <w:basedOn w:val="Obinatablica"/>
    <w:uiPriority w:val="59"/>
    <w:rsid w:val="008D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14A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customStyle="1" w:styleId="xl63">
    <w:name w:val="xl63"/>
    <w:basedOn w:val="Normal"/>
    <w:rsid w:val="00C14ADA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64">
    <w:name w:val="xl64"/>
    <w:basedOn w:val="Normal"/>
    <w:rsid w:val="00C14A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65">
    <w:name w:val="xl65"/>
    <w:basedOn w:val="Normal"/>
    <w:rsid w:val="00C14A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66">
    <w:name w:val="xl66"/>
    <w:basedOn w:val="Normal"/>
    <w:rsid w:val="00C14A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67">
    <w:name w:val="xl67"/>
    <w:basedOn w:val="Normal"/>
    <w:rsid w:val="00C14ADA"/>
    <w:pPr>
      <w:widowControl/>
      <w:shd w:val="clear" w:color="9999FF" w:fill="9999FF"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68">
    <w:name w:val="xl68"/>
    <w:basedOn w:val="Normal"/>
    <w:rsid w:val="00C14ADA"/>
    <w:pPr>
      <w:widowControl/>
      <w:shd w:val="clear" w:color="9999FF" w:fill="9999FF"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69">
    <w:name w:val="xl69"/>
    <w:basedOn w:val="Normal"/>
    <w:rsid w:val="00C14ADA"/>
    <w:pPr>
      <w:widowControl/>
      <w:shd w:val="clear" w:color="CCCCFF" w:fill="CCCCFF"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70">
    <w:name w:val="xl70"/>
    <w:basedOn w:val="Normal"/>
    <w:rsid w:val="00C14ADA"/>
    <w:pPr>
      <w:widowControl/>
      <w:shd w:val="clear" w:color="CCCCFF" w:fill="CCCCFF"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71">
    <w:name w:val="xl71"/>
    <w:basedOn w:val="Normal"/>
    <w:rsid w:val="00C14ADA"/>
    <w:pPr>
      <w:widowControl/>
      <w:shd w:val="clear" w:color="000080" w:fill="000080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72">
    <w:name w:val="xl72"/>
    <w:basedOn w:val="Normal"/>
    <w:rsid w:val="00C14ADA"/>
    <w:pPr>
      <w:widowControl/>
      <w:shd w:val="clear" w:color="000080" w:fill="000080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73">
    <w:name w:val="xl73"/>
    <w:basedOn w:val="Normal"/>
    <w:rsid w:val="00C14ADA"/>
    <w:pPr>
      <w:widowControl/>
      <w:shd w:val="clear" w:color="0000FF" w:fill="0000FF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74">
    <w:name w:val="xl74"/>
    <w:basedOn w:val="Normal"/>
    <w:rsid w:val="00C14ADA"/>
    <w:pPr>
      <w:widowControl/>
      <w:shd w:val="clear" w:color="0000FF" w:fill="0000FF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75">
    <w:name w:val="xl75"/>
    <w:basedOn w:val="Normal"/>
    <w:rsid w:val="00C14ADA"/>
    <w:pPr>
      <w:widowControl/>
      <w:shd w:val="clear" w:color="FFFF99" w:fill="FFFF99"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76">
    <w:name w:val="xl76"/>
    <w:basedOn w:val="Normal"/>
    <w:rsid w:val="00C14ADA"/>
    <w:pPr>
      <w:widowControl/>
      <w:shd w:val="clear" w:color="FFFF99" w:fill="FFFF99"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lang w:eastAsia="hr-HR" w:bidi="ar-SA"/>
    </w:rPr>
  </w:style>
  <w:style w:type="paragraph" w:customStyle="1" w:styleId="xl77">
    <w:name w:val="xl77"/>
    <w:basedOn w:val="Normal"/>
    <w:rsid w:val="00C14ADA"/>
    <w:pPr>
      <w:widowControl/>
      <w:shd w:val="clear" w:color="3366FF" w:fill="3366FF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78">
    <w:name w:val="xl78"/>
    <w:basedOn w:val="Normal"/>
    <w:rsid w:val="00C14ADA"/>
    <w:pPr>
      <w:widowControl/>
      <w:shd w:val="clear" w:color="3366FF" w:fill="3366FF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FFFFFF"/>
      <w:kern w:val="0"/>
      <w:lang w:eastAsia="hr-HR" w:bidi="ar-SA"/>
    </w:rPr>
  </w:style>
  <w:style w:type="paragraph" w:customStyle="1" w:styleId="xl79">
    <w:name w:val="xl79"/>
    <w:basedOn w:val="Normal"/>
    <w:rsid w:val="00C14ADA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28"/>
      <w:szCs w:val="28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C983-4FAC-4D9A-9437-7958C91C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16</Pages>
  <Words>7278</Words>
  <Characters>41488</Characters>
  <Application>Microsoft Office Word</Application>
  <DocSecurity>0</DocSecurity>
  <Lines>345</Lines>
  <Paragraphs>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Ivka Šimunović</dc:creator>
  <cp:lastModifiedBy>Racunovodstvo</cp:lastModifiedBy>
  <cp:revision>27</cp:revision>
  <cp:lastPrinted>2022-12-08T11:42:00Z</cp:lastPrinted>
  <dcterms:created xsi:type="dcterms:W3CDTF">2022-11-15T13:07:00Z</dcterms:created>
  <dcterms:modified xsi:type="dcterms:W3CDTF">2022-12-08T13:07:00Z</dcterms:modified>
</cp:coreProperties>
</file>